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606F1" w14:textId="535209C0" w:rsidR="00B77AEC" w:rsidRPr="00634279" w:rsidRDefault="00D75168" w:rsidP="00D75168">
      <w:pPr>
        <w:spacing w:after="60"/>
        <w:jc w:val="center"/>
        <w:rPr>
          <w:color w:val="000000" w:themeColor="text1"/>
        </w:rPr>
      </w:pPr>
      <w:r>
        <w:fldChar w:fldCharType="begin"/>
      </w:r>
      <w:r>
        <w:instrText>HYPERLINK "http://ejournal.stipjakarta.ac.id/" \h</w:instrText>
      </w:r>
      <w:r>
        <w:fldChar w:fldCharType="separate"/>
      </w:r>
      <w:r>
        <w:rPr>
          <w:color w:val="FF0000"/>
          <w:spacing w:val="-2"/>
        </w:rPr>
        <w:t>http://ejournal.stipjakarta.ac.id</w:t>
      </w:r>
      <w:r>
        <w:rPr>
          <w:color w:val="FF0000"/>
          <w:spacing w:val="-2"/>
        </w:rPr>
        <w:fldChar w:fldCharType="end"/>
      </w:r>
    </w:p>
    <w:tbl>
      <w:tblPr>
        <w:tblW w:w="0" w:type="auto"/>
        <w:jc w:val="center"/>
        <w:tblLayout w:type="fixed"/>
        <w:tblCellMar>
          <w:left w:w="0" w:type="dxa"/>
          <w:right w:w="0" w:type="dxa"/>
        </w:tblCellMar>
        <w:tblLook w:val="01E0" w:firstRow="1" w:lastRow="1" w:firstColumn="1" w:lastColumn="1" w:noHBand="0" w:noVBand="0"/>
      </w:tblPr>
      <w:tblGrid>
        <w:gridCol w:w="1957"/>
        <w:gridCol w:w="7687"/>
      </w:tblGrid>
      <w:tr w:rsidR="00E939EE" w14:paraId="590788BC" w14:textId="77777777" w:rsidTr="00E939EE">
        <w:trPr>
          <w:trHeight w:val="1392"/>
          <w:jc w:val="center"/>
        </w:trPr>
        <w:tc>
          <w:tcPr>
            <w:tcW w:w="1957" w:type="dxa"/>
            <w:tcBorders>
              <w:bottom w:val="single" w:sz="4" w:space="0" w:color="7D7D7D"/>
            </w:tcBorders>
            <w:shd w:val="clear" w:color="auto" w:fill="D7D7D7"/>
          </w:tcPr>
          <w:p w14:paraId="75E65E09" w14:textId="77777777" w:rsidR="00E939EE" w:rsidRDefault="00E939EE" w:rsidP="002001A4">
            <w:pPr>
              <w:pStyle w:val="TableParagraph"/>
              <w:spacing w:line="240" w:lineRule="auto"/>
              <w:ind w:left="108"/>
              <w:jc w:val="left"/>
              <w:rPr>
                <w:sz w:val="20"/>
              </w:rPr>
            </w:pPr>
            <w:r>
              <w:rPr>
                <w:noProof/>
                <w:sz w:val="20"/>
              </w:rPr>
              <w:drawing>
                <wp:inline distT="0" distB="0" distL="0" distR="0" wp14:anchorId="58D82A1D" wp14:editId="77D47964">
                  <wp:extent cx="1093031" cy="868299"/>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1093031" cy="868299"/>
                          </a:xfrm>
                          <a:prstGeom prst="rect">
                            <a:avLst/>
                          </a:prstGeom>
                        </pic:spPr>
                      </pic:pic>
                    </a:graphicData>
                  </a:graphic>
                </wp:inline>
              </w:drawing>
            </w:r>
          </w:p>
        </w:tc>
        <w:tc>
          <w:tcPr>
            <w:tcW w:w="7687" w:type="dxa"/>
            <w:tcBorders>
              <w:bottom w:val="single" w:sz="4" w:space="0" w:color="7D7D7D"/>
            </w:tcBorders>
            <w:shd w:val="clear" w:color="auto" w:fill="D7D7D7"/>
          </w:tcPr>
          <w:p w14:paraId="21B28791" w14:textId="77777777" w:rsidR="00E939EE" w:rsidRDefault="00E939EE" w:rsidP="002001A4">
            <w:pPr>
              <w:pStyle w:val="TableParagraph"/>
              <w:spacing w:before="318" w:line="240" w:lineRule="auto"/>
              <w:ind w:left="3" w:right="87"/>
              <w:rPr>
                <w:i/>
                <w:sz w:val="66"/>
              </w:rPr>
            </w:pPr>
            <w:r>
              <w:rPr>
                <w:i/>
                <w:color w:val="1F487C"/>
                <w:sz w:val="66"/>
              </w:rPr>
              <w:t>METEOR STIP</w:t>
            </w:r>
            <w:r>
              <w:rPr>
                <w:i/>
                <w:color w:val="1F487C"/>
                <w:spacing w:val="1"/>
                <w:sz w:val="66"/>
              </w:rPr>
              <w:t xml:space="preserve"> </w:t>
            </w:r>
            <w:r>
              <w:rPr>
                <w:i/>
                <w:color w:val="1F487C"/>
                <w:spacing w:val="-2"/>
                <w:sz w:val="66"/>
              </w:rPr>
              <w:t>MARUNDA</w:t>
            </w:r>
          </w:p>
        </w:tc>
      </w:tr>
      <w:tr w:rsidR="00E939EE" w14:paraId="143BE54B" w14:textId="77777777" w:rsidTr="00E939EE">
        <w:trPr>
          <w:trHeight w:val="367"/>
          <w:jc w:val="center"/>
        </w:trPr>
        <w:tc>
          <w:tcPr>
            <w:tcW w:w="1957" w:type="dxa"/>
            <w:tcBorders>
              <w:top w:val="single" w:sz="4" w:space="0" w:color="7D7D7D"/>
              <w:bottom w:val="single" w:sz="24" w:space="0" w:color="000000"/>
            </w:tcBorders>
            <w:shd w:val="clear" w:color="auto" w:fill="D7D7D7"/>
          </w:tcPr>
          <w:p w14:paraId="111583F1" w14:textId="77777777" w:rsidR="00E939EE" w:rsidRDefault="00E939EE" w:rsidP="002001A4">
            <w:pPr>
              <w:pStyle w:val="TableParagraph"/>
              <w:spacing w:before="1" w:line="183" w:lineRule="exact"/>
              <w:ind w:left="16"/>
              <w:jc w:val="left"/>
              <w:rPr>
                <w:sz w:val="16"/>
              </w:rPr>
            </w:pPr>
            <w:proofErr w:type="spellStart"/>
            <w:proofErr w:type="gramStart"/>
            <w:r>
              <w:rPr>
                <w:sz w:val="16"/>
              </w:rPr>
              <w:t>pISSN</w:t>
            </w:r>
            <w:proofErr w:type="spellEnd"/>
            <w:r>
              <w:rPr>
                <w:spacing w:val="36"/>
                <w:sz w:val="16"/>
              </w:rPr>
              <w:t xml:space="preserve">  </w:t>
            </w:r>
            <w:r>
              <w:rPr>
                <w:sz w:val="16"/>
              </w:rPr>
              <w:t>:</w:t>
            </w:r>
            <w:proofErr w:type="gramEnd"/>
            <w:r>
              <w:rPr>
                <w:spacing w:val="-2"/>
                <w:sz w:val="16"/>
              </w:rPr>
              <w:t xml:space="preserve"> </w:t>
            </w:r>
            <w:r>
              <w:rPr>
                <w:sz w:val="16"/>
              </w:rPr>
              <w:t>1979</w:t>
            </w:r>
            <w:r>
              <w:rPr>
                <w:spacing w:val="-2"/>
                <w:sz w:val="16"/>
              </w:rPr>
              <w:t xml:space="preserve"> </w:t>
            </w:r>
            <w:r>
              <w:rPr>
                <w:sz w:val="16"/>
              </w:rPr>
              <w:t>–</w:t>
            </w:r>
            <w:r>
              <w:rPr>
                <w:spacing w:val="-2"/>
                <w:sz w:val="16"/>
              </w:rPr>
              <w:t xml:space="preserve"> </w:t>
            </w:r>
            <w:r>
              <w:rPr>
                <w:spacing w:val="-4"/>
                <w:sz w:val="16"/>
              </w:rPr>
              <w:t>4746</w:t>
            </w:r>
          </w:p>
          <w:p w14:paraId="017380C2" w14:textId="77777777" w:rsidR="00E939EE" w:rsidRDefault="00E939EE" w:rsidP="002001A4">
            <w:pPr>
              <w:pStyle w:val="TableParagraph"/>
              <w:spacing w:line="162" w:lineRule="exact"/>
              <w:ind w:left="16"/>
              <w:jc w:val="left"/>
              <w:rPr>
                <w:sz w:val="16"/>
              </w:rPr>
            </w:pPr>
            <w:proofErr w:type="spellStart"/>
            <w:proofErr w:type="gramStart"/>
            <w:r>
              <w:rPr>
                <w:sz w:val="16"/>
              </w:rPr>
              <w:t>eISSN</w:t>
            </w:r>
            <w:proofErr w:type="spellEnd"/>
            <w:r>
              <w:rPr>
                <w:spacing w:val="35"/>
                <w:sz w:val="16"/>
              </w:rPr>
              <w:t xml:space="preserve">  </w:t>
            </w:r>
            <w:r>
              <w:rPr>
                <w:sz w:val="16"/>
              </w:rPr>
              <w:t>:</w:t>
            </w:r>
            <w:proofErr w:type="gramEnd"/>
            <w:r>
              <w:rPr>
                <w:spacing w:val="38"/>
                <w:sz w:val="16"/>
              </w:rPr>
              <w:t xml:space="preserve"> </w:t>
            </w:r>
            <w:r>
              <w:rPr>
                <w:sz w:val="16"/>
              </w:rPr>
              <w:t>2685</w:t>
            </w:r>
            <w:r>
              <w:rPr>
                <w:spacing w:val="2"/>
                <w:sz w:val="16"/>
              </w:rPr>
              <w:t xml:space="preserve"> </w:t>
            </w:r>
            <w:r>
              <w:rPr>
                <w:sz w:val="16"/>
              </w:rPr>
              <w:t>-</w:t>
            </w:r>
            <w:r>
              <w:rPr>
                <w:spacing w:val="-4"/>
                <w:sz w:val="16"/>
              </w:rPr>
              <w:t xml:space="preserve"> 4775</w:t>
            </w:r>
          </w:p>
        </w:tc>
        <w:tc>
          <w:tcPr>
            <w:tcW w:w="7687" w:type="dxa"/>
            <w:tcBorders>
              <w:top w:val="single" w:sz="4" w:space="0" w:color="7D7D7D"/>
              <w:bottom w:val="single" w:sz="24" w:space="0" w:color="000000"/>
            </w:tcBorders>
            <w:shd w:val="clear" w:color="auto" w:fill="D7D7D7"/>
          </w:tcPr>
          <w:p w14:paraId="471F3B8A" w14:textId="77777777" w:rsidR="00E939EE" w:rsidRDefault="00E939EE" w:rsidP="002001A4">
            <w:pPr>
              <w:pStyle w:val="TableParagraph"/>
              <w:spacing w:before="44" w:line="240" w:lineRule="auto"/>
              <w:ind w:left="3"/>
              <w:rPr>
                <w:b/>
                <w:i/>
                <w:sz w:val="24"/>
              </w:rPr>
            </w:pPr>
            <w:r>
              <w:rPr>
                <w:b/>
                <w:i/>
                <w:color w:val="1F487C"/>
                <w:sz w:val="24"/>
              </w:rPr>
              <w:t>Maritime</w:t>
            </w:r>
            <w:r>
              <w:rPr>
                <w:b/>
                <w:i/>
                <w:color w:val="1F487C"/>
                <w:spacing w:val="-2"/>
                <w:sz w:val="24"/>
              </w:rPr>
              <w:t xml:space="preserve"> </w:t>
            </w:r>
            <w:r>
              <w:rPr>
                <w:b/>
                <w:i/>
                <w:color w:val="1F487C"/>
                <w:sz w:val="24"/>
              </w:rPr>
              <w:t>Institute</w:t>
            </w:r>
            <w:r>
              <w:rPr>
                <w:b/>
                <w:i/>
                <w:color w:val="1F487C"/>
                <w:spacing w:val="-1"/>
                <w:sz w:val="24"/>
              </w:rPr>
              <w:t xml:space="preserve"> </w:t>
            </w:r>
            <w:r>
              <w:rPr>
                <w:b/>
                <w:i/>
                <w:color w:val="1F487C"/>
                <w:sz w:val="24"/>
              </w:rPr>
              <w:t>of</w:t>
            </w:r>
            <w:r>
              <w:rPr>
                <w:b/>
                <w:i/>
                <w:color w:val="1F487C"/>
                <w:spacing w:val="-3"/>
                <w:sz w:val="24"/>
              </w:rPr>
              <w:t xml:space="preserve"> </w:t>
            </w:r>
            <w:r>
              <w:rPr>
                <w:b/>
                <w:i/>
                <w:color w:val="1F487C"/>
                <w:spacing w:val="-2"/>
                <w:sz w:val="24"/>
              </w:rPr>
              <w:t>Jakarta</w:t>
            </w:r>
          </w:p>
        </w:tc>
      </w:tr>
    </w:tbl>
    <w:p w14:paraId="42B23A55" w14:textId="77777777" w:rsidR="00BF0C74" w:rsidRDefault="00BF0C74">
      <w:pPr>
        <w:spacing w:after="160"/>
        <w:jc w:val="center"/>
        <w:rPr>
          <w:b/>
          <w:bCs/>
          <w:color w:val="000000" w:themeColor="text1"/>
          <w:sz w:val="24"/>
          <w:szCs w:val="24"/>
        </w:rPr>
      </w:pPr>
    </w:p>
    <w:p w14:paraId="6FE606F2" w14:textId="4A749F34" w:rsidR="00B77AEC" w:rsidRPr="00634279" w:rsidRDefault="00103376">
      <w:pPr>
        <w:spacing w:after="160"/>
        <w:jc w:val="center"/>
        <w:rPr>
          <w:color w:val="000000" w:themeColor="text1"/>
        </w:rPr>
      </w:pPr>
      <w:r w:rsidRPr="00634279">
        <w:rPr>
          <w:b/>
          <w:bCs/>
          <w:color w:val="000000" w:themeColor="text1"/>
          <w:sz w:val="24"/>
          <w:szCs w:val="24"/>
        </w:rPr>
        <w:t xml:space="preserve">Application of Exhaust Gas Recirculation to Reduce NOx Emissions from the Main Diesel Engine on Board MV. Maersk </w:t>
      </w:r>
      <w:proofErr w:type="spellStart"/>
      <w:r w:rsidRPr="00634279">
        <w:rPr>
          <w:b/>
          <w:bCs/>
          <w:color w:val="000000" w:themeColor="text1"/>
          <w:sz w:val="24"/>
          <w:szCs w:val="24"/>
        </w:rPr>
        <w:t>Noresund</w:t>
      </w:r>
      <w:proofErr w:type="spellEnd"/>
    </w:p>
    <w:p w14:paraId="6FE606F3" w14:textId="468A676E" w:rsidR="00B77AEC" w:rsidRPr="002F2CA6" w:rsidRDefault="00103376">
      <w:pPr>
        <w:spacing w:after="80"/>
        <w:jc w:val="center"/>
        <w:rPr>
          <w:color w:val="000000" w:themeColor="text1"/>
          <w:lang w:val="it-IT"/>
        </w:rPr>
      </w:pPr>
      <w:r w:rsidRPr="002F2CA6">
        <w:rPr>
          <w:i/>
          <w:iCs/>
          <w:color w:val="000000" w:themeColor="text1"/>
          <w:lang w:val="it-IT"/>
        </w:rPr>
        <w:t>Nasri</w:t>
      </w:r>
      <w:r w:rsidRPr="002F2CA6">
        <w:rPr>
          <w:color w:val="000000" w:themeColor="text1"/>
          <w:vertAlign w:val="superscript"/>
          <w:lang w:val="it-IT"/>
        </w:rPr>
        <w:t>1</w:t>
      </w:r>
      <w:r w:rsidR="009279A3" w:rsidRPr="002F2CA6">
        <w:rPr>
          <w:color w:val="000000" w:themeColor="text1"/>
          <w:vertAlign w:val="superscript"/>
          <w:lang w:val="it-IT"/>
        </w:rPr>
        <w:t>*</w:t>
      </w:r>
      <w:r w:rsidRPr="002F2CA6">
        <w:rPr>
          <w:b/>
          <w:bCs/>
          <w:color w:val="000000" w:themeColor="text1"/>
          <w:lang w:val="it-IT"/>
        </w:rPr>
        <w:t xml:space="preserve">, </w:t>
      </w:r>
      <w:r w:rsidRPr="002F2CA6">
        <w:rPr>
          <w:i/>
          <w:iCs/>
          <w:color w:val="000000" w:themeColor="text1"/>
          <w:lang w:val="it-IT"/>
        </w:rPr>
        <w:t>Laila Puspitasari</w:t>
      </w:r>
      <w:r w:rsidRPr="002F2CA6">
        <w:rPr>
          <w:color w:val="000000" w:themeColor="text1"/>
          <w:vertAlign w:val="superscript"/>
          <w:lang w:val="it-IT"/>
        </w:rPr>
        <w:t>2</w:t>
      </w:r>
      <w:r w:rsidRPr="002F2CA6">
        <w:rPr>
          <w:color w:val="000000" w:themeColor="text1"/>
          <w:lang w:val="it-IT"/>
        </w:rPr>
        <w:t xml:space="preserve">, </w:t>
      </w:r>
      <w:r w:rsidRPr="002F2CA6">
        <w:rPr>
          <w:i/>
          <w:iCs/>
          <w:color w:val="000000" w:themeColor="text1"/>
          <w:lang w:val="it-IT"/>
        </w:rPr>
        <w:t>Abdul Zaky Firmansah</w:t>
      </w:r>
      <w:r w:rsidRPr="002F2CA6">
        <w:rPr>
          <w:color w:val="000000" w:themeColor="text1"/>
          <w:vertAlign w:val="superscript"/>
          <w:lang w:val="it-IT"/>
        </w:rPr>
        <w:t>3</w:t>
      </w:r>
    </w:p>
    <w:p w14:paraId="6FE606F4" w14:textId="0CDAB64E" w:rsidR="00B77AEC" w:rsidRPr="00634279" w:rsidRDefault="00103376">
      <w:pPr>
        <w:spacing w:after="40"/>
        <w:jc w:val="center"/>
        <w:rPr>
          <w:color w:val="000000" w:themeColor="text1"/>
        </w:rPr>
      </w:pPr>
      <w:r w:rsidRPr="0093399E">
        <w:rPr>
          <w:color w:val="000000" w:themeColor="text1"/>
          <w:sz w:val="18"/>
          <w:szCs w:val="18"/>
          <w:vertAlign w:val="superscript"/>
          <w:lang w:val="it-IT"/>
        </w:rPr>
        <w:t>1,2,3</w:t>
      </w:r>
      <w:r w:rsidRPr="0093399E">
        <w:rPr>
          <w:i/>
          <w:iCs/>
          <w:color w:val="000000" w:themeColor="text1"/>
          <w:sz w:val="18"/>
          <w:szCs w:val="18"/>
          <w:lang w:val="it-IT"/>
        </w:rPr>
        <w:t xml:space="preserve"> </w:t>
      </w:r>
      <w:r w:rsidR="0093399E" w:rsidRPr="0093399E">
        <w:rPr>
          <w:i/>
          <w:iCs/>
          <w:color w:val="000000" w:themeColor="text1"/>
          <w:sz w:val="18"/>
          <w:szCs w:val="18"/>
          <w:lang w:val="it-IT"/>
        </w:rPr>
        <w:t xml:space="preserve">Maritime Institute, Sekolah Tinggi Ilmu Pelayaran Jakarta, North Jakarta. </w:t>
      </w:r>
      <w:r w:rsidR="0093399E" w:rsidRPr="0093399E">
        <w:rPr>
          <w:i/>
          <w:iCs/>
          <w:color w:val="000000" w:themeColor="text1"/>
          <w:sz w:val="18"/>
          <w:szCs w:val="18"/>
        </w:rPr>
        <w:t>Jakarta 14150</w:t>
      </w:r>
    </w:p>
    <w:p w14:paraId="6FE606F5" w14:textId="3D909405" w:rsidR="00B77AEC" w:rsidRPr="00634279" w:rsidRDefault="00B77AEC">
      <w:pPr>
        <w:spacing w:after="40"/>
        <w:jc w:val="center"/>
        <w:rPr>
          <w:color w:val="000000" w:themeColor="text1"/>
          <w:lang w:val="it-IT"/>
        </w:rPr>
      </w:pPr>
    </w:p>
    <w:p w14:paraId="6FE606F6" w14:textId="45C1B7EC" w:rsidR="00B77AEC" w:rsidRPr="00820932" w:rsidRDefault="002F2CA6">
      <w:pPr>
        <w:spacing w:after="200"/>
        <w:jc w:val="center"/>
        <w:rPr>
          <w:i/>
          <w:iCs/>
          <w:color w:val="000000" w:themeColor="text1"/>
          <w:sz w:val="18"/>
          <w:szCs w:val="18"/>
        </w:rPr>
      </w:pPr>
      <w:r w:rsidRPr="00820932">
        <w:rPr>
          <w:i/>
          <w:iCs/>
          <w:color w:val="000000" w:themeColor="text1"/>
          <w:sz w:val="18"/>
          <w:szCs w:val="18"/>
        </w:rPr>
        <w:t xml:space="preserve">*Email </w:t>
      </w:r>
      <w:proofErr w:type="spellStart"/>
      <w:r w:rsidRPr="00820932">
        <w:rPr>
          <w:i/>
          <w:iCs/>
          <w:color w:val="000000" w:themeColor="text1"/>
          <w:sz w:val="18"/>
          <w:szCs w:val="18"/>
        </w:rPr>
        <w:t>Korespondensi</w:t>
      </w:r>
      <w:proofErr w:type="spellEnd"/>
      <w:r w:rsidRPr="00820932">
        <w:rPr>
          <w:i/>
          <w:iCs/>
          <w:color w:val="000000" w:themeColor="text1"/>
          <w:sz w:val="18"/>
          <w:szCs w:val="18"/>
        </w:rPr>
        <w:t xml:space="preserve">: </w:t>
      </w:r>
      <w:hyperlink r:id="rId8" w:history="1">
        <w:r w:rsidR="00820932" w:rsidRPr="00820932">
          <w:rPr>
            <w:rStyle w:val="Hyperlink"/>
            <w:i/>
            <w:iCs/>
            <w:sz w:val="18"/>
            <w:szCs w:val="18"/>
          </w:rPr>
          <w:t>zakyzaky2006</w:t>
        </w:r>
        <w:r w:rsidR="00820932" w:rsidRPr="00820932">
          <w:rPr>
            <w:rStyle w:val="Hyperlink"/>
            <w:i/>
            <w:iCs/>
            <w:sz w:val="18"/>
            <w:szCs w:val="18"/>
          </w:rPr>
          <w:t>@gmail.com</w:t>
        </w:r>
      </w:hyperlink>
    </w:p>
    <w:p w14:paraId="0AC6715B" w14:textId="77777777" w:rsidR="00103376" w:rsidRDefault="00103376" w:rsidP="00103376">
      <w:pPr>
        <w:jc w:val="center"/>
        <w:rPr>
          <w:i/>
          <w:lang w:val="it-IT"/>
        </w:rPr>
      </w:pPr>
    </w:p>
    <w:tbl>
      <w:tblPr>
        <w:tblW w:w="0" w:type="auto"/>
        <w:tblInd w:w="290" w:type="dxa"/>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9644"/>
      </w:tblGrid>
      <w:tr w:rsidR="00103376" w14:paraId="23CC03C5" w14:textId="77777777" w:rsidTr="002001A4">
        <w:trPr>
          <w:trHeight w:val="490"/>
        </w:trPr>
        <w:tc>
          <w:tcPr>
            <w:tcW w:w="9644" w:type="dxa"/>
            <w:vAlign w:val="center"/>
          </w:tcPr>
          <w:p w14:paraId="79F76AE0" w14:textId="77777777" w:rsidR="00103376" w:rsidRPr="00612347" w:rsidRDefault="00103376" w:rsidP="002001A4">
            <w:pPr>
              <w:pStyle w:val="TableParagraph"/>
              <w:tabs>
                <w:tab w:val="left" w:pos="2638"/>
                <w:tab w:val="left" w:pos="4841"/>
                <w:tab w:val="left" w:pos="7270"/>
              </w:tabs>
              <w:spacing w:before="122" w:line="233" w:lineRule="exact"/>
              <w:ind w:left="216"/>
              <w:jc w:val="left"/>
            </w:pPr>
            <w:r w:rsidRPr="00853A10">
              <w:rPr>
                <w:b/>
                <w:bCs/>
                <w:i/>
                <w:lang w:val="it-IT"/>
              </w:rPr>
              <w:t xml:space="preserve">  </w:t>
            </w:r>
            <w:r w:rsidRPr="00612347">
              <w:rPr>
                <w:b/>
                <w:bCs/>
                <w:i/>
              </w:rPr>
              <w:t>Submitted</w:t>
            </w:r>
            <w:r w:rsidRPr="00612347">
              <w:rPr>
                <w:i/>
              </w:rPr>
              <w:t xml:space="preserve">: </w:t>
            </w:r>
            <w:r w:rsidRPr="00612347">
              <w:rPr>
                <w:iCs/>
              </w:rPr>
              <w:t>20/0</w:t>
            </w:r>
            <w:r>
              <w:rPr>
                <w:iCs/>
              </w:rPr>
              <w:t>3</w:t>
            </w:r>
            <w:r w:rsidRPr="00612347">
              <w:rPr>
                <w:iCs/>
              </w:rPr>
              <w:t>/2023</w:t>
            </w:r>
            <w:r w:rsidRPr="00612347">
              <w:rPr>
                <w:i/>
              </w:rPr>
              <w:t xml:space="preserve">         </w:t>
            </w:r>
            <w:r w:rsidRPr="00612347">
              <w:rPr>
                <w:b/>
                <w:bCs/>
                <w:i/>
              </w:rPr>
              <w:t>Revised</w:t>
            </w:r>
            <w:r w:rsidRPr="00612347">
              <w:rPr>
                <w:i/>
              </w:rPr>
              <w:t xml:space="preserve">: </w:t>
            </w:r>
            <w:r w:rsidRPr="00612347">
              <w:rPr>
                <w:iCs/>
              </w:rPr>
              <w:t>17/</w:t>
            </w:r>
            <w:r>
              <w:rPr>
                <w:iCs/>
              </w:rPr>
              <w:t>04</w:t>
            </w:r>
            <w:r w:rsidRPr="00612347">
              <w:rPr>
                <w:iCs/>
              </w:rPr>
              <w:t>/2023</w:t>
            </w:r>
            <w:r w:rsidRPr="00612347">
              <w:rPr>
                <w:i/>
              </w:rPr>
              <w:tab/>
              <w:t xml:space="preserve">    </w:t>
            </w:r>
            <w:r w:rsidRPr="00612347">
              <w:rPr>
                <w:b/>
                <w:bCs/>
                <w:i/>
              </w:rPr>
              <w:t>Accepted</w:t>
            </w:r>
            <w:r w:rsidRPr="00612347">
              <w:rPr>
                <w:i/>
              </w:rPr>
              <w:t xml:space="preserve">: </w:t>
            </w:r>
            <w:r w:rsidRPr="00612347">
              <w:rPr>
                <w:iCs/>
              </w:rPr>
              <w:t>07/</w:t>
            </w:r>
            <w:r>
              <w:rPr>
                <w:iCs/>
              </w:rPr>
              <w:t>06</w:t>
            </w:r>
            <w:r w:rsidRPr="00612347">
              <w:rPr>
                <w:iCs/>
              </w:rPr>
              <w:t>/2023</w:t>
            </w:r>
            <w:r w:rsidRPr="00612347">
              <w:rPr>
                <w:i/>
              </w:rPr>
              <w:tab/>
              <w:t xml:space="preserve">      </w:t>
            </w:r>
            <w:r w:rsidRPr="00612347">
              <w:rPr>
                <w:b/>
                <w:bCs/>
                <w:i/>
              </w:rPr>
              <w:t>Published</w:t>
            </w:r>
            <w:r w:rsidRPr="00612347">
              <w:rPr>
                <w:i/>
              </w:rPr>
              <w:t xml:space="preserve">: </w:t>
            </w:r>
            <w:r>
              <w:rPr>
                <w:iCs/>
              </w:rPr>
              <w:t>31</w:t>
            </w:r>
            <w:r w:rsidRPr="00612347">
              <w:rPr>
                <w:iCs/>
              </w:rPr>
              <w:t>/</w:t>
            </w:r>
            <w:r>
              <w:rPr>
                <w:iCs/>
              </w:rPr>
              <w:t>06</w:t>
            </w:r>
            <w:r w:rsidRPr="00612347">
              <w:rPr>
                <w:iCs/>
              </w:rPr>
              <w:t>/2023</w:t>
            </w:r>
          </w:p>
        </w:tc>
      </w:tr>
    </w:tbl>
    <w:p w14:paraId="60EDC1F1" w14:textId="77777777" w:rsidR="00103376" w:rsidRDefault="00103376">
      <w:pPr>
        <w:pBdr>
          <w:top w:val="single" w:sz="1" w:space="0" w:color="1F4E79"/>
        </w:pBdr>
        <w:spacing w:after="80"/>
        <w:jc w:val="center"/>
        <w:rPr>
          <w:b/>
          <w:bCs/>
          <w:i/>
          <w:iCs/>
          <w:color w:val="000000" w:themeColor="text1"/>
        </w:rPr>
      </w:pPr>
    </w:p>
    <w:p w14:paraId="6FE606F7" w14:textId="6A1273B4" w:rsidR="00B77AEC" w:rsidRPr="00634279" w:rsidRDefault="00103376">
      <w:pPr>
        <w:pBdr>
          <w:top w:val="single" w:sz="1" w:space="0" w:color="1F4E79"/>
        </w:pBdr>
        <w:spacing w:after="80"/>
        <w:jc w:val="center"/>
        <w:rPr>
          <w:color w:val="000000" w:themeColor="text1"/>
        </w:rPr>
      </w:pPr>
      <w:r w:rsidRPr="00634279">
        <w:rPr>
          <w:b/>
          <w:bCs/>
          <w:i/>
          <w:iCs/>
          <w:color w:val="000000" w:themeColor="text1"/>
        </w:rPr>
        <w:t>A</w:t>
      </w:r>
      <w:r w:rsidRPr="00634279">
        <w:rPr>
          <w:b/>
          <w:bCs/>
          <w:i/>
          <w:iCs/>
          <w:color w:val="000000" w:themeColor="text1"/>
        </w:rPr>
        <w:t>bstract</w:t>
      </w:r>
    </w:p>
    <w:p w14:paraId="6FE606F8" w14:textId="77777777" w:rsidR="00B77AEC" w:rsidRPr="00634279" w:rsidRDefault="00103376">
      <w:pPr>
        <w:spacing w:after="100" w:line="264" w:lineRule="auto"/>
        <w:jc w:val="both"/>
        <w:rPr>
          <w:color w:val="000000" w:themeColor="text1"/>
        </w:rPr>
      </w:pPr>
      <w:r w:rsidRPr="00634279">
        <w:rPr>
          <w:i/>
          <w:iCs/>
          <w:color w:val="000000" w:themeColor="text1"/>
        </w:rPr>
        <w:t xml:space="preserve">NOx emissions from marine diesel engines constitute a significant source of air pollution, contributing to tropospheric ozone formation, acid rain, respiratory health hazards, and greenhouse gas accumulation. Under MARPOL Annex VI regulations, vessels operating within designated Emission Control Areas (ECAs) must comply with Tier III NOx emission limits, necessitating the installation of exhaust gas treatment technologies. This study examines the application of Exhaust Gas Recirculation (EGR) technology on </w:t>
      </w:r>
      <w:r w:rsidRPr="00634279">
        <w:rPr>
          <w:i/>
          <w:iCs/>
          <w:color w:val="000000" w:themeColor="text1"/>
        </w:rPr>
        <w:t xml:space="preserve">the MAN B&amp;W 6S60ME-C10.5-EGRBP two-stroke main engine on board MV. Maersk </w:t>
      </w:r>
      <w:proofErr w:type="spellStart"/>
      <w:r w:rsidRPr="00634279">
        <w:rPr>
          <w:i/>
          <w:iCs/>
          <w:color w:val="000000" w:themeColor="text1"/>
        </w:rPr>
        <w:t>Noresund</w:t>
      </w:r>
      <w:proofErr w:type="spellEnd"/>
      <w:r w:rsidRPr="00634279">
        <w:rPr>
          <w:i/>
          <w:iCs/>
          <w:color w:val="000000" w:themeColor="text1"/>
        </w:rPr>
        <w:t xml:space="preserve">, a 25,805 GT container vessel built in 2021 and operated by </w:t>
      </w:r>
      <w:proofErr w:type="spellStart"/>
      <w:r w:rsidRPr="00634279">
        <w:rPr>
          <w:i/>
          <w:iCs/>
          <w:color w:val="000000" w:themeColor="text1"/>
        </w:rPr>
        <w:t>Sealand</w:t>
      </w:r>
      <w:proofErr w:type="spellEnd"/>
      <w:r w:rsidRPr="00634279">
        <w:rPr>
          <w:i/>
          <w:iCs/>
          <w:color w:val="000000" w:themeColor="text1"/>
        </w:rPr>
        <w:t xml:space="preserve"> Maersk Asia. The research was conducted during the author's sea practice period from June 23, 2021, to July 12, 2022, using a descriptive qualitative approach with data collected through direct observation, interviews with engineering officers, and documentation review. The study analyzes two primary aspects: the environmental problems caused by NOx emissions</w:t>
      </w:r>
      <w:r w:rsidRPr="00634279">
        <w:rPr>
          <w:i/>
          <w:iCs/>
          <w:color w:val="000000" w:themeColor="text1"/>
        </w:rPr>
        <w:t xml:space="preserve"> from the combustion process, and the operational role of the EGR system in achieving Tier III compliance. The EGR system operates by recirculating approximately 30% of treated exhaust gas back into the scavenging air receiver, replacing a portion of oxygen with CO₂, which has a higher heat capacity. This reduces the peak combustion temperature and consequently minimizes thermal NOx formation. The exhaust gas undergoes pre-spray scrubbing with NaOH solution to neutralize sulfuric acid and remove particulate</w:t>
      </w:r>
      <w:r w:rsidRPr="00634279">
        <w:rPr>
          <w:i/>
          <w:iCs/>
          <w:color w:val="000000" w:themeColor="text1"/>
        </w:rPr>
        <w:t>s, cooling in the EGR cooler, water mist separation, and pressurization by the EGR blower before mixing with scavenging air. A comparative evaluation of EGR versus Selective Catalytic Reduction (SCR) and Planned Maintenance System (PMS) versus General Overhaul strategies demonstrates that EGR offers advantages in implementation cost, fuel efficiency improvement, and compatibility with existing engine designs, while PMS provides superior preventive maintenance benefits over periodic overhaul approaches for s</w:t>
      </w:r>
      <w:r w:rsidRPr="00634279">
        <w:rPr>
          <w:i/>
          <w:iCs/>
          <w:color w:val="000000" w:themeColor="text1"/>
        </w:rPr>
        <w:t>ustaining optimal EGR performance.</w:t>
      </w:r>
    </w:p>
    <w:p w14:paraId="3E106E4F" w14:textId="77777777" w:rsidR="00F80774" w:rsidRDefault="00F80774" w:rsidP="00F80774">
      <w:pPr>
        <w:pBdr>
          <w:bottom w:val="single" w:sz="1" w:space="0" w:color="1F4E79"/>
        </w:pBdr>
        <w:spacing w:after="60"/>
        <w:jc w:val="center"/>
        <w:rPr>
          <w:i/>
        </w:rPr>
      </w:pPr>
    </w:p>
    <w:p w14:paraId="71DF4948" w14:textId="1DFAEADA" w:rsidR="00D15E47" w:rsidRDefault="00F80774" w:rsidP="00F80774">
      <w:pPr>
        <w:pBdr>
          <w:bottom w:val="single" w:sz="1" w:space="0" w:color="1F4E79"/>
        </w:pBdr>
        <w:spacing w:after="60"/>
        <w:jc w:val="center"/>
        <w:rPr>
          <w:b/>
          <w:bCs/>
          <w:i/>
          <w:iCs/>
          <w:color w:val="000000" w:themeColor="text1"/>
        </w:rPr>
      </w:pPr>
      <w:r>
        <w:rPr>
          <w:i/>
        </w:rPr>
        <w:t>Copyright</w:t>
      </w:r>
      <w:r>
        <w:rPr>
          <w:i/>
          <w:spacing w:val="-8"/>
        </w:rPr>
        <w:t xml:space="preserve"> </w:t>
      </w:r>
      <w:r>
        <w:rPr>
          <w:i/>
        </w:rPr>
        <w:t>©2023,</w:t>
      </w:r>
      <w:r>
        <w:rPr>
          <w:i/>
          <w:spacing w:val="-7"/>
        </w:rPr>
        <w:t xml:space="preserve"> </w:t>
      </w:r>
      <w:r>
        <w:rPr>
          <w:b/>
          <w:i/>
        </w:rPr>
        <w:t>METEOR</w:t>
      </w:r>
      <w:r>
        <w:rPr>
          <w:b/>
          <w:i/>
          <w:spacing w:val="-5"/>
        </w:rPr>
        <w:t xml:space="preserve"> </w:t>
      </w:r>
      <w:r>
        <w:rPr>
          <w:b/>
          <w:i/>
        </w:rPr>
        <w:t>STIP</w:t>
      </w:r>
      <w:r>
        <w:rPr>
          <w:b/>
          <w:i/>
          <w:spacing w:val="-5"/>
        </w:rPr>
        <w:t xml:space="preserve"> </w:t>
      </w:r>
      <w:r>
        <w:rPr>
          <w:b/>
          <w:i/>
        </w:rPr>
        <w:t>MARUNDA</w:t>
      </w:r>
      <w:r>
        <w:t>,</w:t>
      </w:r>
      <w:r>
        <w:rPr>
          <w:spacing w:val="-4"/>
        </w:rPr>
        <w:t xml:space="preserve"> </w:t>
      </w:r>
      <w:proofErr w:type="spellStart"/>
      <w:r>
        <w:rPr>
          <w:i/>
        </w:rPr>
        <w:t>pISSN</w:t>
      </w:r>
      <w:proofErr w:type="spellEnd"/>
      <w:r>
        <w:rPr>
          <w:i/>
        </w:rPr>
        <w:t>:</w:t>
      </w:r>
      <w:r>
        <w:rPr>
          <w:i/>
          <w:spacing w:val="-5"/>
        </w:rPr>
        <w:t xml:space="preserve"> </w:t>
      </w:r>
      <w:r>
        <w:rPr>
          <w:i/>
        </w:rPr>
        <w:t>1979-4746,</w:t>
      </w:r>
      <w:r>
        <w:rPr>
          <w:i/>
          <w:spacing w:val="-7"/>
        </w:rPr>
        <w:t xml:space="preserve"> </w:t>
      </w:r>
      <w:proofErr w:type="spellStart"/>
      <w:r>
        <w:rPr>
          <w:i/>
        </w:rPr>
        <w:t>eISSN</w:t>
      </w:r>
      <w:proofErr w:type="spellEnd"/>
      <w:r>
        <w:rPr>
          <w:i/>
        </w:rPr>
        <w:t>:</w:t>
      </w:r>
      <w:r>
        <w:rPr>
          <w:i/>
          <w:spacing w:val="-4"/>
        </w:rPr>
        <w:t xml:space="preserve"> </w:t>
      </w:r>
      <w:r>
        <w:rPr>
          <w:i/>
        </w:rPr>
        <w:t>2685-</w:t>
      </w:r>
      <w:r>
        <w:rPr>
          <w:i/>
          <w:spacing w:val="-4"/>
        </w:rPr>
        <w:t>4775</w:t>
      </w:r>
    </w:p>
    <w:p w14:paraId="0A72B806" w14:textId="77777777" w:rsidR="00F80774" w:rsidRDefault="00F80774">
      <w:pPr>
        <w:pBdr>
          <w:bottom w:val="single" w:sz="1" w:space="0" w:color="1F4E79"/>
        </w:pBdr>
        <w:spacing w:after="60"/>
        <w:rPr>
          <w:b/>
          <w:bCs/>
          <w:i/>
          <w:iCs/>
          <w:color w:val="000000" w:themeColor="text1"/>
        </w:rPr>
      </w:pPr>
    </w:p>
    <w:p w14:paraId="6FE606FB" w14:textId="2C88896A" w:rsidR="00B77AEC" w:rsidRPr="00634279" w:rsidRDefault="00103376" w:rsidP="00F80774">
      <w:pPr>
        <w:pBdr>
          <w:bottom w:val="single" w:sz="1" w:space="0" w:color="1F4E79"/>
        </w:pBdr>
        <w:spacing w:after="60"/>
        <w:rPr>
          <w:color w:val="000000" w:themeColor="text1"/>
        </w:rPr>
        <w:sectPr w:rsidR="00B77AEC" w:rsidRPr="00634279" w:rsidSect="00103376">
          <w:footerReference w:type="default" r:id="rId9"/>
          <w:type w:val="continuous"/>
          <w:pgSz w:w="11906" w:h="16838"/>
          <w:pgMar w:top="1134" w:right="1134" w:bottom="1134" w:left="1134" w:header="708" w:footer="708" w:gutter="0"/>
          <w:pgNumType w:start="88"/>
          <w:cols w:space="720"/>
          <w:docGrid w:linePitch="360"/>
        </w:sectPr>
      </w:pPr>
      <w:r w:rsidRPr="00634279">
        <w:rPr>
          <w:b/>
          <w:bCs/>
          <w:i/>
          <w:iCs/>
          <w:color w:val="000000" w:themeColor="text1"/>
        </w:rPr>
        <w:t xml:space="preserve">Keywords: </w:t>
      </w:r>
      <w:r w:rsidRPr="00634279">
        <w:rPr>
          <w:i/>
          <w:iCs/>
          <w:color w:val="000000" w:themeColor="text1"/>
        </w:rPr>
        <w:t>exhaust gas recirculation, NOx emissions, MARPOL Annex VI, Tier III, main diesel engine, planned maintenance system</w:t>
      </w:r>
    </w:p>
    <w:p w14:paraId="6FE606FC" w14:textId="77777777" w:rsidR="00B77AEC" w:rsidRPr="00634279" w:rsidRDefault="00103376">
      <w:pPr>
        <w:spacing w:before="200" w:after="120"/>
        <w:jc w:val="center"/>
        <w:rPr>
          <w:color w:val="000000" w:themeColor="text1"/>
        </w:rPr>
      </w:pPr>
      <w:r w:rsidRPr="00634279">
        <w:rPr>
          <w:b/>
          <w:bCs/>
          <w:color w:val="000000" w:themeColor="text1"/>
        </w:rPr>
        <w:t>I. INTRODUCTION</w:t>
      </w:r>
    </w:p>
    <w:p w14:paraId="6FE606FD" w14:textId="2ECBDE8E" w:rsidR="00B77AEC" w:rsidRPr="00634279" w:rsidRDefault="00103376" w:rsidP="00F80774">
      <w:pPr>
        <w:spacing w:after="60"/>
        <w:ind w:firstLine="720"/>
        <w:jc w:val="both"/>
        <w:rPr>
          <w:color w:val="000000" w:themeColor="text1"/>
        </w:rPr>
      </w:pPr>
      <w:r w:rsidRPr="00634279">
        <w:rPr>
          <w:color w:val="000000" w:themeColor="text1"/>
        </w:rPr>
        <w:t>The combustion process in marine diesel engine cylinders generates exhaust gases containing several air pollutants, including nitrogen oxides (NOx), sulfur oxides (</w:t>
      </w:r>
      <w:proofErr w:type="spellStart"/>
      <w:r w:rsidRPr="00634279">
        <w:rPr>
          <w:color w:val="000000" w:themeColor="text1"/>
        </w:rPr>
        <w:t>SOx</w:t>
      </w:r>
      <w:proofErr w:type="spellEnd"/>
      <w:r w:rsidRPr="00634279">
        <w:rPr>
          <w:color w:val="000000" w:themeColor="text1"/>
        </w:rPr>
        <w:t xml:space="preserve">), carbon dioxide (CO₂), and particulate matter. Maritime shipping activities contribute significantly to </w:t>
      </w:r>
      <w:r w:rsidRPr="00634279">
        <w:rPr>
          <w:color w:val="000000" w:themeColor="text1"/>
        </w:rPr>
        <w:t xml:space="preserve">global emissions; according to research by </w:t>
      </w:r>
      <w:proofErr w:type="spellStart"/>
      <w:r w:rsidRPr="00634279">
        <w:rPr>
          <w:color w:val="000000" w:themeColor="text1"/>
        </w:rPr>
        <w:t>Endresen</w:t>
      </w:r>
      <w:proofErr w:type="spellEnd"/>
      <w:r w:rsidRPr="00634279">
        <w:rPr>
          <w:color w:val="000000" w:themeColor="text1"/>
        </w:rPr>
        <w:t xml:space="preserve"> (2003), approximately 70% of shipping emissions occur within 400 kilometers of coastlines. The most recent IMO study estimates that international shipping accounts for approximately 3.1% of anthropogenic CO₂, 2.8% of CO₂-equivalent emissions, 13–15% of global NOx, and a comparable proportion of </w:t>
      </w:r>
      <w:proofErr w:type="spellStart"/>
      <w:r w:rsidRPr="00634279">
        <w:rPr>
          <w:color w:val="000000" w:themeColor="text1"/>
        </w:rPr>
        <w:t>SOx</w:t>
      </w:r>
      <w:proofErr w:type="spellEnd"/>
      <w:r w:rsidRPr="00634279">
        <w:rPr>
          <w:color w:val="000000" w:themeColor="text1"/>
        </w:rPr>
        <w:t xml:space="preserve"> emissions. A separate study </w:t>
      </w:r>
      <w:r w:rsidRPr="00634279">
        <w:rPr>
          <w:color w:val="000000" w:themeColor="text1"/>
        </w:rPr>
        <w:lastRenderedPageBreak/>
        <w:t>by Wang (2019) quantifi</w:t>
      </w:r>
      <w:r w:rsidRPr="00634279">
        <w:rPr>
          <w:color w:val="000000" w:themeColor="text1"/>
        </w:rPr>
        <w:t>ed that ships contribute 57.2% SO₂, 71.9% NO, 30.4% NO₂, 16.6% O₃, 27.6% PM 2.5, and 77.0% particulate vanadium in port areas.</w:t>
      </w:r>
    </w:p>
    <w:p w14:paraId="6FE606FE" w14:textId="77777777" w:rsidR="00B77AEC" w:rsidRPr="00634279" w:rsidRDefault="00103376" w:rsidP="00F80774">
      <w:pPr>
        <w:spacing w:after="60"/>
        <w:ind w:firstLine="720"/>
        <w:jc w:val="both"/>
        <w:rPr>
          <w:color w:val="000000" w:themeColor="text1"/>
        </w:rPr>
      </w:pPr>
      <w:r w:rsidRPr="00634279">
        <w:rPr>
          <w:color w:val="000000" w:themeColor="text1"/>
        </w:rPr>
        <w:t>NOx emissions from ships have multiple adverse environmental and health impacts. In the environmental domain, NOx contributes to tropospheric ozone formation, which is a primary air quality pollutant. Nitrogen oxides react with atmospheric particles to form nitric acid and acid rain, causing damage to vegetation, forests, and aquatic ecosystems. NOx also functions as a greenhouse gas precursor; in the atmosphere, it reacts with hydroxyl radicals (OH) to form tropospheric ozone, which participates in the gre</w:t>
      </w:r>
      <w:r w:rsidRPr="00634279">
        <w:rPr>
          <w:color w:val="000000" w:themeColor="text1"/>
        </w:rPr>
        <w:t>enhouse gas cycle. From a health perspective, chronic exposure to NOx causes respiratory disorders, irritation of the airways, and exacerbation of conditions such as asthma and chronic obstructive pulmonary disease (COPD). In the marine environment, NOx that mixes with seawater can form nitric acid, damaging marine ecosystems and organisms.</w:t>
      </w:r>
    </w:p>
    <w:p w14:paraId="6FE606FF" w14:textId="77777777" w:rsidR="00B77AEC" w:rsidRPr="00634279" w:rsidRDefault="00103376" w:rsidP="00F80774">
      <w:pPr>
        <w:spacing w:after="60"/>
        <w:ind w:firstLine="720"/>
        <w:jc w:val="both"/>
        <w:rPr>
          <w:color w:val="000000" w:themeColor="text1"/>
        </w:rPr>
      </w:pPr>
      <w:r w:rsidRPr="00634279">
        <w:rPr>
          <w:color w:val="000000" w:themeColor="text1"/>
        </w:rPr>
        <w:t>The formation of NOx during diesel engine combustion occurs primarily through three mechanisms. Thermal NOx is formed when atmospheric nitrogen oxidizes with oxygen at high temperatures (above 1,210°C) within the combustion chamber, following the reaction N₂ + O₂ → 2NO, and subsequently 2NO + O₂ → 2NO₂. Prompt NOx forms when nitrogen molecules react with hydrocarbon radicals to form hydrogen cyanide and nitrogen atoms, which then react with hydroxyl-containing molecules. Fuel NOx results from the conversion</w:t>
      </w:r>
      <w:r w:rsidRPr="00634279">
        <w:rPr>
          <w:color w:val="000000" w:themeColor="text1"/>
        </w:rPr>
        <w:t xml:space="preserve"> of nitrogen compounds contained within the fuel itself. The normal exhaust gas temperature of approximately 330°C, combined with peak combustion temperatures reaching 1,210–1,765°C, creates conditions highly conducive to thermal NOx formation, which is the dominant mechanism in marine diesel engines.</w:t>
      </w:r>
    </w:p>
    <w:p w14:paraId="6FE60700" w14:textId="77777777" w:rsidR="00B77AEC" w:rsidRPr="00634279" w:rsidRDefault="00103376" w:rsidP="00F80774">
      <w:pPr>
        <w:spacing w:after="60"/>
        <w:ind w:firstLine="720"/>
        <w:jc w:val="both"/>
        <w:rPr>
          <w:color w:val="000000" w:themeColor="text1"/>
        </w:rPr>
      </w:pPr>
      <w:r w:rsidRPr="00634279">
        <w:rPr>
          <w:color w:val="000000" w:themeColor="text1"/>
        </w:rPr>
        <w:t>In response to these environmental challenges, the International Maritime Organization (IMO) adopted MARPOL Annex VI in 1997 (effective May 19, 2005), establishing regulations for the prevention of air pollution from ships. The Marine Environment Protection Committee (MEPC) designated specific Emission Control Areas (ECAs) along the coasts of Northern Europe, North America (including islands and territories), and major Chinese river estuaries, where vessels must meet more stringent emission limits. Under th</w:t>
      </w:r>
      <w:r w:rsidRPr="00634279">
        <w:rPr>
          <w:color w:val="000000" w:themeColor="text1"/>
        </w:rPr>
        <w:t>e tiered NOx emission standards, Tier I applies to engines installed on ships constructed between 2000 and 2010, Tier II to engines installed from 2011 onward, and Tier III to engines installed from 2016 onward when operating within ECAs. Tier III requires approximately 80% NOx reduction compared to Tier I levels.</w:t>
      </w:r>
    </w:p>
    <w:p w14:paraId="6FE60701" w14:textId="77777777" w:rsidR="00B77AEC" w:rsidRPr="00634279" w:rsidRDefault="00103376" w:rsidP="00F80774">
      <w:pPr>
        <w:spacing w:after="60"/>
        <w:ind w:firstLine="720"/>
        <w:jc w:val="both"/>
        <w:rPr>
          <w:color w:val="000000" w:themeColor="text1"/>
        </w:rPr>
      </w:pPr>
      <w:r w:rsidRPr="00634279">
        <w:rPr>
          <w:color w:val="000000" w:themeColor="text1"/>
        </w:rPr>
        <w:t xml:space="preserve">On board MV. Maersk </w:t>
      </w:r>
      <w:proofErr w:type="spellStart"/>
      <w:r w:rsidRPr="00634279">
        <w:rPr>
          <w:color w:val="000000" w:themeColor="text1"/>
        </w:rPr>
        <w:t>Noresund</w:t>
      </w:r>
      <w:proofErr w:type="spellEnd"/>
      <w:r w:rsidRPr="00634279">
        <w:rPr>
          <w:color w:val="000000" w:themeColor="text1"/>
        </w:rPr>
        <w:t xml:space="preserve">, a 25,805 GT container vessel built in 2021 by </w:t>
      </w:r>
      <w:proofErr w:type="spellStart"/>
      <w:r w:rsidRPr="00634279">
        <w:rPr>
          <w:color w:val="000000" w:themeColor="text1"/>
        </w:rPr>
        <w:t>Imabari</w:t>
      </w:r>
      <w:proofErr w:type="spellEnd"/>
      <w:r w:rsidRPr="00634279">
        <w:rPr>
          <w:color w:val="000000" w:themeColor="text1"/>
        </w:rPr>
        <w:t xml:space="preserve"> Shipbuilding Co., Ltd., the Exhaust Gas Recirculation (EGR) system was </w:t>
      </w:r>
      <w:r w:rsidRPr="00634279">
        <w:rPr>
          <w:color w:val="000000" w:themeColor="text1"/>
        </w:rPr>
        <w:t>installed on the MAN B&amp;W 6S60ME-C10.5-EGRBP two-stroke main engine to achieve Tier III compliance. Based on the author's observations during the sea practice period from June 23, 2021, to July 12, 2022, this study was conducted to analyze the environmental problems caused by NOx emissions and to examine the operational role and maintenance requirements of the EGR system in a</w:t>
      </w:r>
      <w:r w:rsidRPr="00634279">
        <w:rPr>
          <w:color w:val="000000" w:themeColor="text1"/>
        </w:rPr>
        <w:t>chieving effective NOx reduction.</w:t>
      </w:r>
    </w:p>
    <w:p w14:paraId="6FE60702" w14:textId="77777777" w:rsidR="00B77AEC" w:rsidRPr="00634279" w:rsidRDefault="00103376" w:rsidP="00F80774">
      <w:pPr>
        <w:spacing w:before="200" w:after="120"/>
        <w:rPr>
          <w:color w:val="000000" w:themeColor="text1"/>
        </w:rPr>
      </w:pPr>
      <w:r w:rsidRPr="00634279">
        <w:rPr>
          <w:b/>
          <w:bCs/>
          <w:color w:val="000000" w:themeColor="text1"/>
        </w:rPr>
        <w:t>II. LITERATURE REVIEW</w:t>
      </w:r>
    </w:p>
    <w:p w14:paraId="6FE60703" w14:textId="77777777" w:rsidR="00B77AEC" w:rsidRPr="00634279" w:rsidRDefault="00103376">
      <w:pPr>
        <w:spacing w:before="160" w:after="80"/>
        <w:ind w:left="284"/>
        <w:rPr>
          <w:color w:val="000000" w:themeColor="text1"/>
        </w:rPr>
      </w:pPr>
      <w:r w:rsidRPr="00634279">
        <w:rPr>
          <w:b/>
          <w:bCs/>
          <w:i/>
          <w:iCs/>
          <w:color w:val="000000" w:themeColor="text1"/>
        </w:rPr>
        <w:t>A. Nitrogen Oxides: Properties and Environmental Impact</w:t>
      </w:r>
    </w:p>
    <w:p w14:paraId="6FE60704" w14:textId="77777777" w:rsidR="00B77AEC" w:rsidRPr="00634279" w:rsidRDefault="00103376" w:rsidP="0093227C">
      <w:pPr>
        <w:spacing w:after="60"/>
        <w:ind w:firstLine="540"/>
        <w:jc w:val="both"/>
        <w:rPr>
          <w:color w:val="000000" w:themeColor="text1"/>
        </w:rPr>
      </w:pPr>
      <w:r w:rsidRPr="00634279">
        <w:rPr>
          <w:color w:val="000000" w:themeColor="text1"/>
        </w:rPr>
        <w:t>Nitrogen oxides (NOx) are a group of atmospheric gases consisting primarily of nitric oxide (NO) and nitrogen dioxide (NO₂), along with smaller quantities of other nitrogen-oxygen compounds including dinitrogen oxide (N₂O) and nitrogen pentoxide (N₂O₅). Nitric oxide is a colorless, odorless gas with a melting point of –163.6°C and a boiling point of –151.8°C, while nitrogen dioxide is a reddish-brown gas with a pungent odor, a melting point of –9.3°C, and a boiling point of 21.15°C. Chemically, NO reacts wi</w:t>
      </w:r>
      <w:r w:rsidRPr="00634279">
        <w:rPr>
          <w:color w:val="000000" w:themeColor="text1"/>
        </w:rPr>
        <w:t>th water to form nitric acid (a strong acid), while NO₂ is slightly soluble in water, forming a weak acid. NO₂ is approximately four times more toxic than NO (Widodo, 2021).</w:t>
      </w:r>
    </w:p>
    <w:p w14:paraId="6FE60705" w14:textId="51A92264" w:rsidR="00B77AEC" w:rsidRPr="00634279" w:rsidRDefault="0093227C" w:rsidP="0093227C">
      <w:pPr>
        <w:spacing w:after="60"/>
        <w:ind w:firstLine="284"/>
        <w:jc w:val="both"/>
        <w:rPr>
          <w:color w:val="000000" w:themeColor="text1"/>
        </w:rPr>
      </w:pPr>
      <w:r>
        <w:rPr>
          <w:color w:val="000000" w:themeColor="text1"/>
        </w:rPr>
        <w:tab/>
      </w:r>
      <w:r w:rsidR="00103376" w:rsidRPr="00634279">
        <w:rPr>
          <w:color w:val="000000" w:themeColor="text1"/>
        </w:rPr>
        <w:t>The effects of NOx on human health include lung inflammation, swelling that causes breathing difficulty, and neurological symptoms including seizures at high concentrations. Research on animal subjects demonstrated that exposure to 2,500 ppm NO causes loss of consciousness in rats within 6–7 minutes, with irreversible effects after 12 minutes of exposure. Exposure to as little as 0.25 ppm NO₂ for 4 hours over 6 days produces structural changes in rabbit lung collagen (</w:t>
      </w:r>
      <w:proofErr w:type="spellStart"/>
      <w:r w:rsidR="00103376" w:rsidRPr="00634279">
        <w:rPr>
          <w:color w:val="000000" w:themeColor="text1"/>
        </w:rPr>
        <w:t>Darmayasa</w:t>
      </w:r>
      <w:proofErr w:type="spellEnd"/>
      <w:r w:rsidR="00103376" w:rsidRPr="00634279">
        <w:rPr>
          <w:color w:val="000000" w:themeColor="text1"/>
        </w:rPr>
        <w:t>, 2013). On vegetation, NO₂ ca</w:t>
      </w:r>
      <w:r w:rsidR="00103376" w:rsidRPr="00634279">
        <w:rPr>
          <w:color w:val="000000" w:themeColor="text1"/>
        </w:rPr>
        <w:t>uses leaf spotting at concentrations of 1.0 ppm and tissue necrosis at concentrations above 3.5 ppm. In aquatic environments, NOx contributes to acidification through the formation of nitric acid in precipitation, reducing pH levels that can be lethal to various biological systems.</w:t>
      </w:r>
    </w:p>
    <w:p w14:paraId="6FE60706" w14:textId="77777777" w:rsidR="00B77AEC" w:rsidRPr="00634279" w:rsidRDefault="00103376">
      <w:pPr>
        <w:spacing w:before="160" w:after="80"/>
        <w:ind w:left="284"/>
        <w:rPr>
          <w:color w:val="000000" w:themeColor="text1"/>
        </w:rPr>
      </w:pPr>
      <w:r w:rsidRPr="00634279">
        <w:rPr>
          <w:b/>
          <w:bCs/>
          <w:i/>
          <w:iCs/>
          <w:color w:val="000000" w:themeColor="text1"/>
        </w:rPr>
        <w:t>B. Exhaust Gas Recirculation (EGR) Technology</w:t>
      </w:r>
    </w:p>
    <w:p w14:paraId="6FE60707" w14:textId="609928BF" w:rsidR="00B77AEC" w:rsidRPr="00634279" w:rsidRDefault="0093227C">
      <w:pPr>
        <w:spacing w:after="60"/>
        <w:jc w:val="both"/>
        <w:rPr>
          <w:color w:val="000000" w:themeColor="text1"/>
        </w:rPr>
      </w:pPr>
      <w:r>
        <w:rPr>
          <w:color w:val="000000" w:themeColor="text1"/>
        </w:rPr>
        <w:tab/>
      </w:r>
      <w:r w:rsidR="00103376" w:rsidRPr="00634279">
        <w:rPr>
          <w:color w:val="000000" w:themeColor="text1"/>
        </w:rPr>
        <w:t xml:space="preserve">Exhaust Gas Recirculation (EGR) is an emission control technology that enables significant reduction of NOx emissions from diesel engines by modifying the intake air composition (Jaaskelainen, 2022). The system operates by recirculating a controlled portion (approximately 30%) of treated exhaust gas back into the intake manifold, where it mixes with fresh scavenging air. This recirculation increases the heat capacity of the intake charge and reduces the oxygen concentration during combustion, which in turn </w:t>
      </w:r>
      <w:r w:rsidR="00103376" w:rsidRPr="00634279">
        <w:rPr>
          <w:color w:val="000000" w:themeColor="text1"/>
        </w:rPr>
        <w:t xml:space="preserve">lowers the peak flame temperature and consequently minimizes thermal NOx formation. The EGR rate is adjusted according to engine </w:t>
      </w:r>
      <w:r w:rsidR="00103376" w:rsidRPr="00634279">
        <w:rPr>
          <w:color w:val="000000" w:themeColor="text1"/>
        </w:rPr>
        <w:lastRenderedPageBreak/>
        <w:t xml:space="preserve">operating conditions: higher EGR flow is required during medium-range operation and acceleration where combustion temperatures are highest, while low-speed, light-load conditions require lower EGR flow. During engine warm-up, idling, and wide-open throttle operation, EGR flow is further reduced to prevent adverse effects on engine efficiency and </w:t>
      </w:r>
      <w:proofErr w:type="spellStart"/>
      <w:r w:rsidR="00103376" w:rsidRPr="00634279">
        <w:rPr>
          <w:color w:val="000000" w:themeColor="text1"/>
        </w:rPr>
        <w:t>driveability</w:t>
      </w:r>
      <w:proofErr w:type="spellEnd"/>
      <w:r w:rsidR="00103376" w:rsidRPr="00634279">
        <w:rPr>
          <w:color w:val="000000" w:themeColor="text1"/>
        </w:rPr>
        <w:t xml:space="preserve"> (</w:t>
      </w:r>
      <w:proofErr w:type="spellStart"/>
      <w:r w:rsidR="00103376" w:rsidRPr="00634279">
        <w:rPr>
          <w:color w:val="000000" w:themeColor="text1"/>
        </w:rPr>
        <w:t>Kaleemuddin</w:t>
      </w:r>
      <w:proofErr w:type="spellEnd"/>
      <w:r w:rsidR="00103376" w:rsidRPr="00634279">
        <w:rPr>
          <w:color w:val="000000" w:themeColor="text1"/>
        </w:rPr>
        <w:t>, 2011).</w:t>
      </w:r>
    </w:p>
    <w:p w14:paraId="6FE60708" w14:textId="6EBD2018" w:rsidR="00B77AEC" w:rsidRPr="00634279" w:rsidRDefault="0093227C">
      <w:pPr>
        <w:spacing w:after="60"/>
        <w:jc w:val="both"/>
        <w:rPr>
          <w:color w:val="000000" w:themeColor="text1"/>
        </w:rPr>
      </w:pPr>
      <w:r>
        <w:rPr>
          <w:color w:val="000000" w:themeColor="text1"/>
        </w:rPr>
        <w:tab/>
      </w:r>
      <w:r w:rsidR="00103376" w:rsidRPr="00634279">
        <w:rPr>
          <w:color w:val="000000" w:themeColor="text1"/>
        </w:rPr>
        <w:t xml:space="preserve">EGR systems are classified into two configurations based on the recirculation pressure level. In Low-Pressure EGR (LP-EGR), the exhaust gas is extracted downstream of the turbocharger turbine outlet and reintroduced at the compressor inlet, controlled by the EGR valve. In High-Pressure EGR (HP-EGR), the exhaust gas enters upstream of the </w:t>
      </w:r>
      <w:proofErr w:type="spellStart"/>
      <w:r w:rsidR="00103376" w:rsidRPr="00634279">
        <w:rPr>
          <w:color w:val="000000" w:themeColor="text1"/>
        </w:rPr>
        <w:t>turbin</w:t>
      </w:r>
      <w:proofErr w:type="spellEnd"/>
      <w:r w:rsidR="00103376" w:rsidRPr="00634279">
        <w:rPr>
          <w:color w:val="000000" w:themeColor="text1"/>
        </w:rPr>
        <w:t xml:space="preserve"> and exits downstream of the compressor outlet under EGR valve control. Both configurations require integration of an EGR scrubber (cleaner) and a water purification </w:t>
      </w:r>
      <w:r w:rsidR="00103376" w:rsidRPr="00634279">
        <w:rPr>
          <w:color w:val="000000" w:themeColor="text1"/>
        </w:rPr>
        <w:t xml:space="preserve">system to remove particulates and sulfur compounds from the recirculated gas, as untreated exhaust gas would cause accelerated engine wear and component damage. The Alfa Laval </w:t>
      </w:r>
      <w:proofErr w:type="spellStart"/>
      <w:r w:rsidR="00103376" w:rsidRPr="00634279">
        <w:rPr>
          <w:color w:val="000000" w:themeColor="text1"/>
        </w:rPr>
        <w:t>PureNOx</w:t>
      </w:r>
      <w:proofErr w:type="spellEnd"/>
      <w:r w:rsidR="00103376" w:rsidRPr="00634279">
        <w:rPr>
          <w:color w:val="000000" w:themeColor="text1"/>
        </w:rPr>
        <w:t xml:space="preserve"> water treatment system, based on centrifugal separation technology, is commonly used in conjunction with marine EGR systems to clean the scrubber wash water for reuse and for discharge to sea in compliance with IMO requirements under MEPC 259(68) (Okubo, 2019).</w:t>
      </w:r>
    </w:p>
    <w:p w14:paraId="6FE60709" w14:textId="77777777" w:rsidR="00B77AEC" w:rsidRPr="00634279" w:rsidRDefault="00103376">
      <w:pPr>
        <w:spacing w:before="160" w:after="80"/>
        <w:ind w:left="284"/>
        <w:rPr>
          <w:color w:val="000000" w:themeColor="text1"/>
        </w:rPr>
      </w:pPr>
      <w:r w:rsidRPr="00634279">
        <w:rPr>
          <w:b/>
          <w:bCs/>
          <w:i/>
          <w:iCs/>
          <w:color w:val="000000" w:themeColor="text1"/>
        </w:rPr>
        <w:t>C. Selective Catalytic Reduction (SCR) Technology</w:t>
      </w:r>
    </w:p>
    <w:p w14:paraId="6FE6070A" w14:textId="68852A75" w:rsidR="00B77AEC" w:rsidRPr="00634279" w:rsidRDefault="0093227C">
      <w:pPr>
        <w:spacing w:after="60"/>
        <w:jc w:val="both"/>
        <w:rPr>
          <w:color w:val="000000" w:themeColor="text1"/>
        </w:rPr>
      </w:pPr>
      <w:r>
        <w:rPr>
          <w:color w:val="000000" w:themeColor="text1"/>
        </w:rPr>
        <w:tab/>
      </w:r>
      <w:r w:rsidR="00103376" w:rsidRPr="00634279">
        <w:rPr>
          <w:color w:val="000000" w:themeColor="text1"/>
        </w:rPr>
        <w:t xml:space="preserve">Selective Catalytic Reduction (SCR) is an alternative after-treatment technology for NOx reduction that operates by injecting a reductant solution (anhydrous ammonia, aqueous ammonia, or urea/carbamide) into the exhaust gas stream upstream of a catalyst unit. The reductant decomposes into ammonia, which reacts with </w:t>
      </w:r>
      <w:r w:rsidR="00103376" w:rsidRPr="00634279">
        <w:rPr>
          <w:color w:val="000000" w:themeColor="text1"/>
        </w:rPr>
        <w:t>NOx in the presence of the catalyst (typically titanium dioxide or vanadium pentoxide) to produce harmless nitrogen gas (N₂) and water vapor (H₂O). SCR systems can achieve NOx reduction rates exc</w:t>
      </w:r>
      <w:r w:rsidR="00103376" w:rsidRPr="00634279">
        <w:rPr>
          <w:color w:val="000000" w:themeColor="text1"/>
        </w:rPr>
        <w:t>eeding 80–90%. SCR is classified into High-Pressure (HP-SCR), where the reactor is positioned before the turbocharger requiring exhaust temperatures of 300–400°C, and Low-Pressure (LP-SCR), positioned after the turbocharger. While SCR is highly effective, it requires significant space for the reactor and reductant storage, involves high operating costs for continuous reductant consumption, is temperature-dependent in its catalytic efficiency, and does not reduce CO₂ emissions (IMO Resolution MEPC.198).</w:t>
      </w:r>
    </w:p>
    <w:p w14:paraId="6FE6070B" w14:textId="77777777" w:rsidR="00B77AEC" w:rsidRPr="00634279" w:rsidRDefault="00103376">
      <w:pPr>
        <w:spacing w:before="160" w:after="80"/>
        <w:ind w:left="284"/>
        <w:rPr>
          <w:color w:val="000000" w:themeColor="text1"/>
        </w:rPr>
      </w:pPr>
      <w:r w:rsidRPr="00634279">
        <w:rPr>
          <w:b/>
          <w:bCs/>
          <w:i/>
          <w:iCs/>
          <w:color w:val="000000" w:themeColor="text1"/>
        </w:rPr>
        <w:t>D. Planned Maintenance System and General Overhaul</w:t>
      </w:r>
    </w:p>
    <w:p w14:paraId="6FE6070C" w14:textId="57BAC084" w:rsidR="00B77AEC" w:rsidRPr="00634279" w:rsidRDefault="0093227C">
      <w:pPr>
        <w:spacing w:after="60"/>
        <w:jc w:val="both"/>
        <w:rPr>
          <w:color w:val="000000" w:themeColor="text1"/>
        </w:rPr>
      </w:pPr>
      <w:r>
        <w:rPr>
          <w:color w:val="000000" w:themeColor="text1"/>
        </w:rPr>
        <w:tab/>
      </w:r>
      <w:r w:rsidR="00103376" w:rsidRPr="00634279">
        <w:rPr>
          <w:color w:val="000000" w:themeColor="text1"/>
        </w:rPr>
        <w:t xml:space="preserve">The Planned Maintenance System (PMS) is a systematic approach to vessel maintenance involving scheduled, continuous, and preventive maintenance activities to ensure that all equipment remains in operational condition. According to </w:t>
      </w:r>
      <w:proofErr w:type="spellStart"/>
      <w:r w:rsidR="00103376" w:rsidRPr="00634279">
        <w:rPr>
          <w:color w:val="000000" w:themeColor="text1"/>
        </w:rPr>
        <w:t>Handoyo</w:t>
      </w:r>
      <w:proofErr w:type="spellEnd"/>
      <w:r w:rsidR="00103376" w:rsidRPr="00634279">
        <w:rPr>
          <w:color w:val="000000" w:themeColor="text1"/>
        </w:rPr>
        <w:t xml:space="preserve"> (2015), maintenance is the most critical factor in preserving equipment condition, and preventive maintenance through regular scheduled inspections, cleaning, and component replacement is more cost-effective than reactive repair after failure. The NSOS (2004) maintenance f</w:t>
      </w:r>
      <w:r w:rsidR="00103376" w:rsidRPr="00634279">
        <w:rPr>
          <w:color w:val="000000" w:themeColor="text1"/>
        </w:rPr>
        <w:t>ramework classifies strategies into incidental maintenance, corrective maintenance, periodic preventive maintenance (based on running hours or calendar time), and condition-based maintenance. General overhaul, by contrast, involves complete disassembly, inspection, cleaning, and component replacement of the entire system at extended intervals, requiring significant cost and vessel downtime but providing comprehensive performance restoration.</w:t>
      </w:r>
    </w:p>
    <w:p w14:paraId="6FE6070D" w14:textId="77777777" w:rsidR="00B77AEC" w:rsidRPr="00634279" w:rsidRDefault="00B77AEC">
      <w:pPr>
        <w:rPr>
          <w:color w:val="000000" w:themeColor="text1"/>
        </w:rPr>
        <w:sectPr w:rsidR="00B77AEC" w:rsidRPr="00634279">
          <w:type w:val="continuous"/>
          <w:pgSz w:w="11906" w:h="16838"/>
          <w:pgMar w:top="1134" w:right="1134" w:bottom="1134" w:left="1134" w:header="708" w:footer="708" w:gutter="0"/>
          <w:cols w:num="2" w:space="340"/>
          <w:docGrid w:linePitch="360"/>
        </w:sectPr>
      </w:pPr>
    </w:p>
    <w:p w14:paraId="6FE6070E" w14:textId="77777777" w:rsidR="00B77AEC" w:rsidRPr="00634279" w:rsidRDefault="00103376">
      <w:pPr>
        <w:spacing w:before="120" w:after="80"/>
        <w:jc w:val="center"/>
        <w:rPr>
          <w:color w:val="000000" w:themeColor="text1"/>
        </w:rPr>
      </w:pPr>
      <w:r w:rsidRPr="00634279">
        <w:rPr>
          <w:b/>
          <w:bCs/>
          <w:color w:val="000000" w:themeColor="text1"/>
          <w:sz w:val="18"/>
          <w:szCs w:val="18"/>
        </w:rPr>
        <w:t xml:space="preserve">Table 1. </w:t>
      </w:r>
      <w:r w:rsidRPr="0093227C">
        <w:rPr>
          <w:color w:val="000000" w:themeColor="text1"/>
          <w:sz w:val="18"/>
          <w:szCs w:val="18"/>
        </w:rPr>
        <w:t>EGR System Principal Components and Functions</w:t>
      </w:r>
    </w:p>
    <w:tbl>
      <w:tblPr>
        <w:tblW w:w="9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61"/>
        <w:gridCol w:w="6438"/>
      </w:tblGrid>
      <w:tr w:rsidR="00634279" w:rsidRPr="00634279" w14:paraId="6FE60711" w14:textId="77777777" w:rsidTr="0093227C">
        <w:tblPrEx>
          <w:tblCellMar>
            <w:top w:w="0" w:type="dxa"/>
            <w:bottom w:w="0" w:type="dxa"/>
          </w:tblCellMar>
        </w:tblPrEx>
        <w:trPr>
          <w:jc w:val="center"/>
        </w:trPr>
        <w:tc>
          <w:tcPr>
            <w:tcW w:w="2661" w:type="dxa"/>
            <w:tcBorders>
              <w:top w:val="single" w:sz="2" w:space="0" w:color="999999"/>
              <w:left w:val="nil"/>
              <w:bottom w:val="single" w:sz="2" w:space="0" w:color="999999"/>
              <w:right w:val="nil"/>
            </w:tcBorders>
            <w:shd w:val="clear" w:color="auto" w:fill="auto"/>
            <w:vAlign w:val="center"/>
          </w:tcPr>
          <w:p w14:paraId="6FE6070F" w14:textId="77777777" w:rsidR="00B77AEC" w:rsidRPr="00634279" w:rsidRDefault="00103376">
            <w:pPr>
              <w:spacing w:before="20" w:after="20"/>
              <w:jc w:val="center"/>
              <w:rPr>
                <w:color w:val="000000" w:themeColor="text1"/>
              </w:rPr>
            </w:pPr>
            <w:r w:rsidRPr="00634279">
              <w:rPr>
                <w:b/>
                <w:bCs/>
                <w:color w:val="000000" w:themeColor="text1"/>
                <w:sz w:val="18"/>
                <w:szCs w:val="18"/>
              </w:rPr>
              <w:t>Component</w:t>
            </w:r>
          </w:p>
        </w:tc>
        <w:tc>
          <w:tcPr>
            <w:tcW w:w="6438" w:type="dxa"/>
            <w:tcBorders>
              <w:top w:val="single" w:sz="2" w:space="0" w:color="999999"/>
              <w:left w:val="nil"/>
              <w:bottom w:val="single" w:sz="2" w:space="0" w:color="999999"/>
              <w:right w:val="nil"/>
            </w:tcBorders>
            <w:shd w:val="clear" w:color="auto" w:fill="auto"/>
            <w:vAlign w:val="center"/>
          </w:tcPr>
          <w:p w14:paraId="6FE60710" w14:textId="77777777" w:rsidR="00B77AEC" w:rsidRPr="00634279" w:rsidRDefault="00103376">
            <w:pPr>
              <w:spacing w:before="20" w:after="20"/>
              <w:jc w:val="center"/>
              <w:rPr>
                <w:color w:val="000000" w:themeColor="text1"/>
              </w:rPr>
            </w:pPr>
            <w:r w:rsidRPr="00634279">
              <w:rPr>
                <w:b/>
                <w:bCs/>
                <w:color w:val="000000" w:themeColor="text1"/>
                <w:sz w:val="18"/>
                <w:szCs w:val="18"/>
              </w:rPr>
              <w:t>Function</w:t>
            </w:r>
          </w:p>
        </w:tc>
      </w:tr>
      <w:tr w:rsidR="00634279" w:rsidRPr="00634279" w14:paraId="6FE60714" w14:textId="77777777" w:rsidTr="0093227C">
        <w:tblPrEx>
          <w:tblCellMar>
            <w:top w:w="0" w:type="dxa"/>
            <w:bottom w:w="0" w:type="dxa"/>
          </w:tblCellMar>
        </w:tblPrEx>
        <w:trPr>
          <w:jc w:val="center"/>
        </w:trPr>
        <w:tc>
          <w:tcPr>
            <w:tcW w:w="2661" w:type="dxa"/>
            <w:tcBorders>
              <w:top w:val="single" w:sz="2" w:space="0" w:color="999999"/>
              <w:left w:val="nil"/>
              <w:bottom w:val="single" w:sz="2" w:space="0" w:color="999999"/>
              <w:right w:val="nil"/>
            </w:tcBorders>
            <w:shd w:val="clear" w:color="auto" w:fill="auto"/>
            <w:vAlign w:val="center"/>
          </w:tcPr>
          <w:p w14:paraId="6FE60712" w14:textId="77777777" w:rsidR="00B77AEC" w:rsidRPr="00634279" w:rsidRDefault="00103376">
            <w:pPr>
              <w:spacing w:before="20" w:after="20"/>
              <w:rPr>
                <w:color w:val="000000" w:themeColor="text1"/>
              </w:rPr>
            </w:pPr>
            <w:r w:rsidRPr="00634279">
              <w:rPr>
                <w:color w:val="000000" w:themeColor="text1"/>
                <w:sz w:val="18"/>
                <w:szCs w:val="18"/>
              </w:rPr>
              <w:t>Shut Off Valve (SOV)</w:t>
            </w:r>
          </w:p>
        </w:tc>
        <w:tc>
          <w:tcPr>
            <w:tcW w:w="6438" w:type="dxa"/>
            <w:tcBorders>
              <w:top w:val="single" w:sz="2" w:space="0" w:color="999999"/>
              <w:left w:val="nil"/>
              <w:bottom w:val="single" w:sz="2" w:space="0" w:color="999999"/>
              <w:right w:val="nil"/>
            </w:tcBorders>
            <w:shd w:val="clear" w:color="auto" w:fill="auto"/>
            <w:vAlign w:val="center"/>
          </w:tcPr>
          <w:p w14:paraId="6FE60713" w14:textId="77777777" w:rsidR="00B77AEC" w:rsidRPr="00634279" w:rsidRDefault="00103376">
            <w:pPr>
              <w:spacing w:before="20" w:after="20"/>
              <w:rPr>
                <w:color w:val="000000" w:themeColor="text1"/>
              </w:rPr>
            </w:pPr>
            <w:r w:rsidRPr="00634279">
              <w:rPr>
                <w:color w:val="000000" w:themeColor="text1"/>
                <w:sz w:val="18"/>
                <w:szCs w:val="18"/>
              </w:rPr>
              <w:t>Controls supply/cutoff of exhaust gas from exhaust receiver to EGR unit; opens during EGR operation, closes during shutdown or malfunction</w:t>
            </w:r>
          </w:p>
        </w:tc>
      </w:tr>
      <w:tr w:rsidR="00634279" w:rsidRPr="00634279" w14:paraId="6FE60717" w14:textId="77777777" w:rsidTr="0093227C">
        <w:tblPrEx>
          <w:tblCellMar>
            <w:top w:w="0" w:type="dxa"/>
            <w:bottom w:w="0" w:type="dxa"/>
          </w:tblCellMar>
        </w:tblPrEx>
        <w:trPr>
          <w:jc w:val="center"/>
        </w:trPr>
        <w:tc>
          <w:tcPr>
            <w:tcW w:w="2661" w:type="dxa"/>
            <w:tcBorders>
              <w:top w:val="single" w:sz="2" w:space="0" w:color="999999"/>
              <w:left w:val="nil"/>
              <w:bottom w:val="single" w:sz="2" w:space="0" w:color="999999"/>
              <w:right w:val="nil"/>
            </w:tcBorders>
            <w:shd w:val="clear" w:color="auto" w:fill="auto"/>
            <w:vAlign w:val="center"/>
          </w:tcPr>
          <w:p w14:paraId="6FE60715" w14:textId="77777777" w:rsidR="00B77AEC" w:rsidRPr="00634279" w:rsidRDefault="00103376">
            <w:pPr>
              <w:spacing w:before="20" w:after="20"/>
              <w:rPr>
                <w:color w:val="000000" w:themeColor="text1"/>
              </w:rPr>
            </w:pPr>
            <w:r w:rsidRPr="00634279">
              <w:rPr>
                <w:color w:val="000000" w:themeColor="text1"/>
                <w:sz w:val="18"/>
                <w:szCs w:val="18"/>
              </w:rPr>
              <w:t>Pre-Spray Unit</w:t>
            </w:r>
          </w:p>
        </w:tc>
        <w:tc>
          <w:tcPr>
            <w:tcW w:w="6438" w:type="dxa"/>
            <w:tcBorders>
              <w:top w:val="single" w:sz="2" w:space="0" w:color="999999"/>
              <w:left w:val="nil"/>
              <w:bottom w:val="single" w:sz="2" w:space="0" w:color="999999"/>
              <w:right w:val="nil"/>
            </w:tcBorders>
            <w:shd w:val="clear" w:color="auto" w:fill="auto"/>
            <w:vAlign w:val="center"/>
          </w:tcPr>
          <w:p w14:paraId="6FE60716" w14:textId="77777777" w:rsidR="00B77AEC" w:rsidRPr="00634279" w:rsidRDefault="00103376">
            <w:pPr>
              <w:spacing w:before="20" w:after="20"/>
              <w:rPr>
                <w:color w:val="000000" w:themeColor="text1"/>
              </w:rPr>
            </w:pPr>
            <w:r w:rsidRPr="00634279">
              <w:rPr>
                <w:color w:val="000000" w:themeColor="text1"/>
                <w:sz w:val="18"/>
                <w:szCs w:val="18"/>
              </w:rPr>
              <w:t xml:space="preserve">Sprays NaOH solution via nozzles into EGR gas stream to neutralize </w:t>
            </w:r>
            <w:proofErr w:type="spellStart"/>
            <w:r w:rsidRPr="00634279">
              <w:rPr>
                <w:color w:val="000000" w:themeColor="text1"/>
                <w:sz w:val="18"/>
                <w:szCs w:val="18"/>
              </w:rPr>
              <w:t>SOx</w:t>
            </w:r>
            <w:proofErr w:type="spellEnd"/>
            <w:r w:rsidRPr="00634279">
              <w:rPr>
                <w:color w:val="000000" w:themeColor="text1"/>
                <w:sz w:val="18"/>
                <w:szCs w:val="18"/>
              </w:rPr>
              <w:t xml:space="preserve"> (sulfuric acid) and remove combustion residues (soot, particulates)</w:t>
            </w:r>
          </w:p>
        </w:tc>
      </w:tr>
      <w:tr w:rsidR="00634279" w:rsidRPr="00634279" w14:paraId="6FE6071A" w14:textId="77777777" w:rsidTr="0093227C">
        <w:tblPrEx>
          <w:tblCellMar>
            <w:top w:w="0" w:type="dxa"/>
            <w:bottom w:w="0" w:type="dxa"/>
          </w:tblCellMar>
        </w:tblPrEx>
        <w:trPr>
          <w:jc w:val="center"/>
        </w:trPr>
        <w:tc>
          <w:tcPr>
            <w:tcW w:w="2661" w:type="dxa"/>
            <w:tcBorders>
              <w:top w:val="single" w:sz="2" w:space="0" w:color="999999"/>
              <w:left w:val="nil"/>
              <w:bottom w:val="single" w:sz="2" w:space="0" w:color="999999"/>
              <w:right w:val="nil"/>
            </w:tcBorders>
            <w:shd w:val="clear" w:color="auto" w:fill="auto"/>
            <w:vAlign w:val="center"/>
          </w:tcPr>
          <w:p w14:paraId="6FE60718" w14:textId="77777777" w:rsidR="00B77AEC" w:rsidRPr="00634279" w:rsidRDefault="00103376">
            <w:pPr>
              <w:spacing w:before="20" w:after="20"/>
              <w:rPr>
                <w:color w:val="000000" w:themeColor="text1"/>
              </w:rPr>
            </w:pPr>
            <w:r w:rsidRPr="00634279">
              <w:rPr>
                <w:color w:val="000000" w:themeColor="text1"/>
                <w:sz w:val="18"/>
                <w:szCs w:val="18"/>
              </w:rPr>
              <w:t>EGR Cooler</w:t>
            </w:r>
          </w:p>
        </w:tc>
        <w:tc>
          <w:tcPr>
            <w:tcW w:w="6438" w:type="dxa"/>
            <w:tcBorders>
              <w:top w:val="single" w:sz="2" w:space="0" w:color="999999"/>
              <w:left w:val="nil"/>
              <w:bottom w:val="single" w:sz="2" w:space="0" w:color="999999"/>
              <w:right w:val="nil"/>
            </w:tcBorders>
            <w:shd w:val="clear" w:color="auto" w:fill="auto"/>
            <w:vAlign w:val="center"/>
          </w:tcPr>
          <w:p w14:paraId="6FE60719" w14:textId="77777777" w:rsidR="00B77AEC" w:rsidRPr="00634279" w:rsidRDefault="00103376">
            <w:pPr>
              <w:spacing w:before="20" w:after="20"/>
              <w:rPr>
                <w:color w:val="000000" w:themeColor="text1"/>
              </w:rPr>
            </w:pPr>
            <w:r w:rsidRPr="00634279">
              <w:rPr>
                <w:color w:val="000000" w:themeColor="text1"/>
                <w:sz w:val="18"/>
                <w:szCs w:val="18"/>
              </w:rPr>
              <w:t>Cools the cleaned EGR gas to reduce its temperature before entering the scavenging air system</w:t>
            </w:r>
          </w:p>
        </w:tc>
      </w:tr>
      <w:tr w:rsidR="00634279" w:rsidRPr="00634279" w14:paraId="6FE6071D" w14:textId="77777777" w:rsidTr="0093227C">
        <w:tblPrEx>
          <w:tblCellMar>
            <w:top w:w="0" w:type="dxa"/>
            <w:bottom w:w="0" w:type="dxa"/>
          </w:tblCellMar>
        </w:tblPrEx>
        <w:trPr>
          <w:jc w:val="center"/>
        </w:trPr>
        <w:tc>
          <w:tcPr>
            <w:tcW w:w="2661" w:type="dxa"/>
            <w:tcBorders>
              <w:top w:val="single" w:sz="2" w:space="0" w:color="999999"/>
              <w:left w:val="nil"/>
              <w:bottom w:val="single" w:sz="2" w:space="0" w:color="999999"/>
              <w:right w:val="nil"/>
            </w:tcBorders>
            <w:shd w:val="clear" w:color="auto" w:fill="auto"/>
            <w:vAlign w:val="center"/>
          </w:tcPr>
          <w:p w14:paraId="6FE6071B" w14:textId="77777777" w:rsidR="00B77AEC" w:rsidRPr="00634279" w:rsidRDefault="00103376">
            <w:pPr>
              <w:spacing w:before="20" w:after="20"/>
              <w:rPr>
                <w:color w:val="000000" w:themeColor="text1"/>
              </w:rPr>
            </w:pPr>
            <w:r w:rsidRPr="00634279">
              <w:rPr>
                <w:color w:val="000000" w:themeColor="text1"/>
                <w:sz w:val="18"/>
                <w:szCs w:val="18"/>
              </w:rPr>
              <w:t>Water Mist Catcher (WMC)</w:t>
            </w:r>
          </w:p>
        </w:tc>
        <w:tc>
          <w:tcPr>
            <w:tcW w:w="6438" w:type="dxa"/>
            <w:tcBorders>
              <w:top w:val="single" w:sz="2" w:space="0" w:color="999999"/>
              <w:left w:val="nil"/>
              <w:bottom w:val="single" w:sz="2" w:space="0" w:color="999999"/>
              <w:right w:val="nil"/>
            </w:tcBorders>
            <w:shd w:val="clear" w:color="auto" w:fill="auto"/>
            <w:vAlign w:val="center"/>
          </w:tcPr>
          <w:p w14:paraId="6FE6071C" w14:textId="77777777" w:rsidR="00B77AEC" w:rsidRPr="00634279" w:rsidRDefault="00103376">
            <w:pPr>
              <w:spacing w:before="20" w:after="20"/>
              <w:rPr>
                <w:color w:val="000000" w:themeColor="text1"/>
              </w:rPr>
            </w:pPr>
            <w:r w:rsidRPr="00634279">
              <w:rPr>
                <w:color w:val="000000" w:themeColor="text1"/>
                <w:sz w:val="18"/>
                <w:szCs w:val="18"/>
              </w:rPr>
              <w:t>Separates water droplets from cooled EGR gas and removes residual moisture before the gas enters the EGR blower</w:t>
            </w:r>
          </w:p>
        </w:tc>
      </w:tr>
      <w:tr w:rsidR="00634279" w:rsidRPr="00634279" w14:paraId="6FE60720" w14:textId="77777777" w:rsidTr="0093227C">
        <w:tblPrEx>
          <w:tblCellMar>
            <w:top w:w="0" w:type="dxa"/>
            <w:bottom w:w="0" w:type="dxa"/>
          </w:tblCellMar>
        </w:tblPrEx>
        <w:trPr>
          <w:jc w:val="center"/>
        </w:trPr>
        <w:tc>
          <w:tcPr>
            <w:tcW w:w="2661" w:type="dxa"/>
            <w:tcBorders>
              <w:top w:val="single" w:sz="2" w:space="0" w:color="999999"/>
              <w:left w:val="nil"/>
              <w:bottom w:val="single" w:sz="2" w:space="0" w:color="999999"/>
              <w:right w:val="nil"/>
            </w:tcBorders>
            <w:shd w:val="clear" w:color="auto" w:fill="auto"/>
            <w:vAlign w:val="center"/>
          </w:tcPr>
          <w:p w14:paraId="6FE6071E" w14:textId="77777777" w:rsidR="00B77AEC" w:rsidRPr="00634279" w:rsidRDefault="00103376">
            <w:pPr>
              <w:spacing w:before="20" w:after="20"/>
              <w:rPr>
                <w:color w:val="000000" w:themeColor="text1"/>
              </w:rPr>
            </w:pPr>
            <w:r w:rsidRPr="00634279">
              <w:rPr>
                <w:color w:val="000000" w:themeColor="text1"/>
                <w:sz w:val="18"/>
                <w:szCs w:val="18"/>
              </w:rPr>
              <w:t>EGR Blower</w:t>
            </w:r>
          </w:p>
        </w:tc>
        <w:tc>
          <w:tcPr>
            <w:tcW w:w="6438" w:type="dxa"/>
            <w:tcBorders>
              <w:top w:val="single" w:sz="2" w:space="0" w:color="999999"/>
              <w:left w:val="nil"/>
              <w:bottom w:val="single" w:sz="2" w:space="0" w:color="999999"/>
              <w:right w:val="nil"/>
            </w:tcBorders>
            <w:shd w:val="clear" w:color="auto" w:fill="auto"/>
            <w:vAlign w:val="center"/>
          </w:tcPr>
          <w:p w14:paraId="6FE6071F" w14:textId="77777777" w:rsidR="00B77AEC" w:rsidRPr="00634279" w:rsidRDefault="00103376">
            <w:pPr>
              <w:spacing w:before="20" w:after="20"/>
              <w:rPr>
                <w:color w:val="000000" w:themeColor="text1"/>
              </w:rPr>
            </w:pPr>
            <w:r w:rsidRPr="00634279">
              <w:rPr>
                <w:color w:val="000000" w:themeColor="text1"/>
                <w:sz w:val="18"/>
                <w:szCs w:val="18"/>
              </w:rPr>
              <w:t>Forces treated EGR gas into the mixing chamber to blend with scavenging air; speed controlled by frequency converter to maintain target O₂ concentration (17%)</w:t>
            </w:r>
          </w:p>
        </w:tc>
      </w:tr>
      <w:tr w:rsidR="00634279" w:rsidRPr="00634279" w14:paraId="6FE60723" w14:textId="77777777" w:rsidTr="0093227C">
        <w:tblPrEx>
          <w:tblCellMar>
            <w:top w:w="0" w:type="dxa"/>
            <w:bottom w:w="0" w:type="dxa"/>
          </w:tblCellMar>
        </w:tblPrEx>
        <w:trPr>
          <w:jc w:val="center"/>
        </w:trPr>
        <w:tc>
          <w:tcPr>
            <w:tcW w:w="2661" w:type="dxa"/>
            <w:tcBorders>
              <w:top w:val="single" w:sz="2" w:space="0" w:color="999999"/>
              <w:left w:val="nil"/>
              <w:bottom w:val="single" w:sz="2" w:space="0" w:color="999999"/>
              <w:right w:val="nil"/>
            </w:tcBorders>
            <w:shd w:val="clear" w:color="auto" w:fill="auto"/>
            <w:vAlign w:val="center"/>
          </w:tcPr>
          <w:p w14:paraId="6FE60721" w14:textId="77777777" w:rsidR="00B77AEC" w:rsidRPr="00634279" w:rsidRDefault="00103376">
            <w:pPr>
              <w:spacing w:before="20" w:after="20"/>
              <w:rPr>
                <w:color w:val="000000" w:themeColor="text1"/>
              </w:rPr>
            </w:pPr>
            <w:r w:rsidRPr="00634279">
              <w:rPr>
                <w:color w:val="000000" w:themeColor="text1"/>
                <w:sz w:val="18"/>
                <w:szCs w:val="18"/>
              </w:rPr>
              <w:t>Blower Throttle Valve (BTV)</w:t>
            </w:r>
          </w:p>
        </w:tc>
        <w:tc>
          <w:tcPr>
            <w:tcW w:w="6438" w:type="dxa"/>
            <w:tcBorders>
              <w:top w:val="single" w:sz="2" w:space="0" w:color="999999"/>
              <w:left w:val="nil"/>
              <w:bottom w:val="single" w:sz="2" w:space="0" w:color="999999"/>
              <w:right w:val="nil"/>
            </w:tcBorders>
            <w:shd w:val="clear" w:color="auto" w:fill="auto"/>
            <w:vAlign w:val="center"/>
          </w:tcPr>
          <w:p w14:paraId="6FE60722" w14:textId="77777777" w:rsidR="00B77AEC" w:rsidRPr="00634279" w:rsidRDefault="00103376">
            <w:pPr>
              <w:spacing w:before="20" w:after="20"/>
              <w:rPr>
                <w:color w:val="000000" w:themeColor="text1"/>
              </w:rPr>
            </w:pPr>
            <w:r w:rsidRPr="00634279">
              <w:rPr>
                <w:color w:val="000000" w:themeColor="text1"/>
                <w:sz w:val="18"/>
                <w:szCs w:val="18"/>
              </w:rPr>
              <w:t>Opens when required differential pressure (</w:t>
            </w:r>
            <w:proofErr w:type="spellStart"/>
            <w:r w:rsidRPr="00634279">
              <w:rPr>
                <w:color w:val="000000" w:themeColor="text1"/>
                <w:sz w:val="18"/>
                <w:szCs w:val="18"/>
              </w:rPr>
              <w:t>dp-btv</w:t>
            </w:r>
            <w:proofErr w:type="spellEnd"/>
            <w:r w:rsidRPr="00634279">
              <w:rPr>
                <w:color w:val="000000" w:themeColor="text1"/>
                <w:sz w:val="18"/>
                <w:szCs w:val="18"/>
              </w:rPr>
              <w:t>) is achieved; regulates EGR gas flow rate in conjunction with blower speed</w:t>
            </w:r>
          </w:p>
        </w:tc>
      </w:tr>
      <w:tr w:rsidR="00634279" w:rsidRPr="00634279" w14:paraId="6FE60726" w14:textId="77777777" w:rsidTr="0093227C">
        <w:tblPrEx>
          <w:tblCellMar>
            <w:top w:w="0" w:type="dxa"/>
            <w:bottom w:w="0" w:type="dxa"/>
          </w:tblCellMar>
        </w:tblPrEx>
        <w:trPr>
          <w:jc w:val="center"/>
        </w:trPr>
        <w:tc>
          <w:tcPr>
            <w:tcW w:w="2661" w:type="dxa"/>
            <w:tcBorders>
              <w:top w:val="single" w:sz="2" w:space="0" w:color="999999"/>
              <w:left w:val="nil"/>
              <w:bottom w:val="single" w:sz="2" w:space="0" w:color="999999"/>
              <w:right w:val="nil"/>
            </w:tcBorders>
            <w:shd w:val="clear" w:color="auto" w:fill="auto"/>
            <w:vAlign w:val="center"/>
          </w:tcPr>
          <w:p w14:paraId="6FE60724" w14:textId="77777777" w:rsidR="00B77AEC" w:rsidRPr="00634279" w:rsidRDefault="00103376">
            <w:pPr>
              <w:spacing w:before="20" w:after="20"/>
              <w:rPr>
                <w:color w:val="000000" w:themeColor="text1"/>
              </w:rPr>
            </w:pPr>
            <w:r w:rsidRPr="00634279">
              <w:rPr>
                <w:color w:val="000000" w:themeColor="text1"/>
                <w:sz w:val="18"/>
                <w:szCs w:val="18"/>
              </w:rPr>
              <w:t>Cylinder Bypass Valve (CBV)</w:t>
            </w:r>
          </w:p>
        </w:tc>
        <w:tc>
          <w:tcPr>
            <w:tcW w:w="6438" w:type="dxa"/>
            <w:tcBorders>
              <w:top w:val="single" w:sz="2" w:space="0" w:color="999999"/>
              <w:left w:val="nil"/>
              <w:bottom w:val="single" w:sz="2" w:space="0" w:color="999999"/>
              <w:right w:val="nil"/>
            </w:tcBorders>
            <w:shd w:val="clear" w:color="auto" w:fill="auto"/>
            <w:vAlign w:val="center"/>
          </w:tcPr>
          <w:p w14:paraId="6FE60725" w14:textId="77777777" w:rsidR="00B77AEC" w:rsidRPr="00634279" w:rsidRDefault="00103376">
            <w:pPr>
              <w:spacing w:before="20" w:after="20"/>
              <w:rPr>
                <w:color w:val="000000" w:themeColor="text1"/>
              </w:rPr>
            </w:pPr>
            <w:r w:rsidRPr="00634279">
              <w:rPr>
                <w:color w:val="000000" w:themeColor="text1"/>
                <w:sz w:val="18"/>
                <w:szCs w:val="18"/>
              </w:rPr>
              <w:t>Opens during low-load operation to bypass scavenge air receiver to turbine inlet, increasing exhaust gas pressure without losing scavenge air pressure</w:t>
            </w:r>
          </w:p>
        </w:tc>
      </w:tr>
      <w:tr w:rsidR="00634279" w:rsidRPr="00634279" w14:paraId="6FE60729" w14:textId="77777777" w:rsidTr="0093227C">
        <w:tblPrEx>
          <w:tblCellMar>
            <w:top w:w="0" w:type="dxa"/>
            <w:bottom w:w="0" w:type="dxa"/>
          </w:tblCellMar>
        </w:tblPrEx>
        <w:trPr>
          <w:jc w:val="center"/>
        </w:trPr>
        <w:tc>
          <w:tcPr>
            <w:tcW w:w="2661" w:type="dxa"/>
            <w:tcBorders>
              <w:top w:val="single" w:sz="2" w:space="0" w:color="999999"/>
              <w:left w:val="nil"/>
              <w:bottom w:val="single" w:sz="2" w:space="0" w:color="999999"/>
              <w:right w:val="nil"/>
            </w:tcBorders>
            <w:shd w:val="clear" w:color="auto" w:fill="auto"/>
            <w:vAlign w:val="center"/>
          </w:tcPr>
          <w:p w14:paraId="6FE60727" w14:textId="77777777" w:rsidR="00B77AEC" w:rsidRPr="00634279" w:rsidRDefault="00103376">
            <w:pPr>
              <w:spacing w:before="20" w:after="20"/>
              <w:rPr>
                <w:color w:val="000000" w:themeColor="text1"/>
              </w:rPr>
            </w:pPr>
            <w:r w:rsidRPr="00634279">
              <w:rPr>
                <w:color w:val="000000" w:themeColor="text1"/>
                <w:sz w:val="18"/>
                <w:szCs w:val="18"/>
              </w:rPr>
              <w:t>Water Treatment System (WTS)</w:t>
            </w:r>
          </w:p>
        </w:tc>
        <w:tc>
          <w:tcPr>
            <w:tcW w:w="6438" w:type="dxa"/>
            <w:tcBorders>
              <w:top w:val="single" w:sz="2" w:space="0" w:color="999999"/>
              <w:left w:val="nil"/>
              <w:bottom w:val="single" w:sz="2" w:space="0" w:color="999999"/>
              <w:right w:val="nil"/>
            </w:tcBorders>
            <w:shd w:val="clear" w:color="auto" w:fill="auto"/>
            <w:vAlign w:val="center"/>
          </w:tcPr>
          <w:p w14:paraId="6FE60728" w14:textId="77777777" w:rsidR="00B77AEC" w:rsidRPr="00634279" w:rsidRDefault="00103376">
            <w:pPr>
              <w:spacing w:before="20" w:after="20"/>
              <w:rPr>
                <w:color w:val="000000" w:themeColor="text1"/>
              </w:rPr>
            </w:pPr>
            <w:r w:rsidRPr="00634279">
              <w:rPr>
                <w:color w:val="000000" w:themeColor="text1"/>
                <w:sz w:val="18"/>
                <w:szCs w:val="18"/>
              </w:rPr>
              <w:t xml:space="preserve">Alfa Laval </w:t>
            </w:r>
            <w:proofErr w:type="spellStart"/>
            <w:r w:rsidRPr="00634279">
              <w:rPr>
                <w:color w:val="000000" w:themeColor="text1"/>
                <w:sz w:val="18"/>
                <w:szCs w:val="18"/>
              </w:rPr>
              <w:t>PureNOx</w:t>
            </w:r>
            <w:proofErr w:type="spellEnd"/>
            <w:r w:rsidRPr="00634279">
              <w:rPr>
                <w:color w:val="000000" w:themeColor="text1"/>
                <w:sz w:val="18"/>
                <w:szCs w:val="18"/>
              </w:rPr>
              <w:t xml:space="preserve"> centrifugal separator; processes EGR wash water for reuse and compliant discharge (oil content &lt; 15 ppm)</w:t>
            </w:r>
          </w:p>
        </w:tc>
      </w:tr>
    </w:tbl>
    <w:p w14:paraId="6FE6072A" w14:textId="7581DDA6" w:rsidR="00B77AEC" w:rsidRDefault="00B77AEC">
      <w:pPr>
        <w:spacing w:before="40" w:after="60"/>
        <w:jc w:val="center"/>
        <w:rPr>
          <w:color w:val="000000" w:themeColor="text1"/>
        </w:rPr>
      </w:pPr>
    </w:p>
    <w:p w14:paraId="6FE6072B" w14:textId="77777777" w:rsidR="00B77AEC" w:rsidRPr="00634279" w:rsidRDefault="00B77AEC">
      <w:pPr>
        <w:rPr>
          <w:color w:val="000000" w:themeColor="text1"/>
        </w:rPr>
        <w:sectPr w:rsidR="00B77AEC" w:rsidRPr="00634279">
          <w:type w:val="continuous"/>
          <w:pgSz w:w="11906" w:h="16838"/>
          <w:pgMar w:top="1134" w:right="1134" w:bottom="1134" w:left="1134" w:header="708" w:footer="708" w:gutter="0"/>
          <w:cols w:space="720"/>
          <w:docGrid w:linePitch="360"/>
        </w:sectPr>
      </w:pPr>
    </w:p>
    <w:p w14:paraId="6FE6072C" w14:textId="77777777" w:rsidR="00B77AEC" w:rsidRPr="00634279" w:rsidRDefault="00103376">
      <w:pPr>
        <w:spacing w:before="80" w:after="80"/>
        <w:jc w:val="center"/>
        <w:rPr>
          <w:color w:val="000000" w:themeColor="text1"/>
        </w:rPr>
      </w:pPr>
      <w:r w:rsidRPr="00634279">
        <w:rPr>
          <w:b/>
          <w:bCs/>
          <w:color w:val="000000" w:themeColor="text1"/>
          <w:sz w:val="18"/>
          <w:szCs w:val="18"/>
        </w:rPr>
        <w:lastRenderedPageBreak/>
        <w:t xml:space="preserve">Table 2. </w:t>
      </w:r>
      <w:r w:rsidRPr="0093227C">
        <w:rPr>
          <w:color w:val="000000" w:themeColor="text1"/>
          <w:sz w:val="18"/>
          <w:szCs w:val="18"/>
        </w:rPr>
        <w:t>Comparative Evaluation of EGR and SCR Technologies</w:t>
      </w:r>
    </w:p>
    <w:tbl>
      <w:tblPr>
        <w:tblW w:w="8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60"/>
        <w:gridCol w:w="3250"/>
        <w:gridCol w:w="3419"/>
      </w:tblGrid>
      <w:tr w:rsidR="00634279" w:rsidRPr="00634279" w14:paraId="6FE60730" w14:textId="77777777" w:rsidTr="0093227C">
        <w:tblPrEx>
          <w:tblCellMar>
            <w:top w:w="0" w:type="dxa"/>
            <w:bottom w:w="0" w:type="dxa"/>
          </w:tblCellMar>
        </w:tblPrEx>
        <w:trPr>
          <w:jc w:val="center"/>
        </w:trPr>
        <w:tc>
          <w:tcPr>
            <w:tcW w:w="2160" w:type="dxa"/>
            <w:tcBorders>
              <w:top w:val="single" w:sz="2" w:space="0" w:color="999999"/>
              <w:left w:val="nil"/>
              <w:bottom w:val="single" w:sz="2" w:space="0" w:color="999999"/>
              <w:right w:val="nil"/>
            </w:tcBorders>
            <w:shd w:val="clear" w:color="auto" w:fill="auto"/>
            <w:vAlign w:val="center"/>
          </w:tcPr>
          <w:p w14:paraId="6FE6072D" w14:textId="77777777" w:rsidR="00B77AEC" w:rsidRPr="00634279" w:rsidRDefault="00103376">
            <w:pPr>
              <w:spacing w:before="20" w:after="20"/>
              <w:jc w:val="center"/>
              <w:rPr>
                <w:color w:val="000000" w:themeColor="text1"/>
              </w:rPr>
            </w:pPr>
            <w:r w:rsidRPr="00634279">
              <w:rPr>
                <w:b/>
                <w:bCs/>
                <w:color w:val="000000" w:themeColor="text1"/>
                <w:sz w:val="18"/>
                <w:szCs w:val="18"/>
              </w:rPr>
              <w:t>Criterion</w:t>
            </w:r>
          </w:p>
        </w:tc>
        <w:tc>
          <w:tcPr>
            <w:tcW w:w="3250" w:type="dxa"/>
            <w:tcBorders>
              <w:top w:val="single" w:sz="2" w:space="0" w:color="999999"/>
              <w:left w:val="nil"/>
              <w:bottom w:val="single" w:sz="2" w:space="0" w:color="999999"/>
              <w:right w:val="nil"/>
            </w:tcBorders>
            <w:shd w:val="clear" w:color="auto" w:fill="auto"/>
            <w:vAlign w:val="center"/>
          </w:tcPr>
          <w:p w14:paraId="6FE6072E" w14:textId="77777777" w:rsidR="00B77AEC" w:rsidRPr="00634279" w:rsidRDefault="00103376">
            <w:pPr>
              <w:spacing w:before="20" w:after="20"/>
              <w:jc w:val="center"/>
              <w:rPr>
                <w:color w:val="000000" w:themeColor="text1"/>
              </w:rPr>
            </w:pPr>
            <w:r w:rsidRPr="00634279">
              <w:rPr>
                <w:b/>
                <w:bCs/>
                <w:color w:val="000000" w:themeColor="text1"/>
                <w:sz w:val="18"/>
                <w:szCs w:val="18"/>
              </w:rPr>
              <w:t>EGR</w:t>
            </w:r>
          </w:p>
        </w:tc>
        <w:tc>
          <w:tcPr>
            <w:tcW w:w="3419" w:type="dxa"/>
            <w:tcBorders>
              <w:top w:val="single" w:sz="2" w:space="0" w:color="999999"/>
              <w:left w:val="nil"/>
              <w:bottom w:val="single" w:sz="2" w:space="0" w:color="999999"/>
              <w:right w:val="nil"/>
            </w:tcBorders>
            <w:shd w:val="clear" w:color="auto" w:fill="auto"/>
            <w:vAlign w:val="center"/>
          </w:tcPr>
          <w:p w14:paraId="6FE6072F" w14:textId="77777777" w:rsidR="00B77AEC" w:rsidRPr="00634279" w:rsidRDefault="00103376">
            <w:pPr>
              <w:spacing w:before="20" w:after="20"/>
              <w:jc w:val="center"/>
              <w:rPr>
                <w:color w:val="000000" w:themeColor="text1"/>
              </w:rPr>
            </w:pPr>
            <w:r w:rsidRPr="00634279">
              <w:rPr>
                <w:b/>
                <w:bCs/>
                <w:color w:val="000000" w:themeColor="text1"/>
                <w:sz w:val="18"/>
                <w:szCs w:val="18"/>
              </w:rPr>
              <w:t>SCR</w:t>
            </w:r>
          </w:p>
        </w:tc>
      </w:tr>
      <w:tr w:rsidR="00634279" w:rsidRPr="00634279" w14:paraId="6FE60734" w14:textId="77777777" w:rsidTr="0093227C">
        <w:tblPrEx>
          <w:tblCellMar>
            <w:top w:w="0" w:type="dxa"/>
            <w:bottom w:w="0" w:type="dxa"/>
          </w:tblCellMar>
        </w:tblPrEx>
        <w:trPr>
          <w:jc w:val="center"/>
        </w:trPr>
        <w:tc>
          <w:tcPr>
            <w:tcW w:w="2160" w:type="dxa"/>
            <w:tcBorders>
              <w:top w:val="single" w:sz="2" w:space="0" w:color="999999"/>
              <w:left w:val="nil"/>
              <w:bottom w:val="single" w:sz="2" w:space="0" w:color="999999"/>
              <w:right w:val="nil"/>
            </w:tcBorders>
            <w:shd w:val="clear" w:color="auto" w:fill="auto"/>
            <w:vAlign w:val="center"/>
          </w:tcPr>
          <w:p w14:paraId="6FE60731" w14:textId="77777777" w:rsidR="00B77AEC" w:rsidRPr="00634279" w:rsidRDefault="00103376">
            <w:pPr>
              <w:spacing w:before="20" w:after="20"/>
              <w:rPr>
                <w:color w:val="000000" w:themeColor="text1"/>
              </w:rPr>
            </w:pPr>
            <w:r w:rsidRPr="00634279">
              <w:rPr>
                <w:color w:val="000000" w:themeColor="text1"/>
                <w:sz w:val="18"/>
                <w:szCs w:val="18"/>
              </w:rPr>
              <w:t>NOx Reduction Rate</w:t>
            </w:r>
          </w:p>
        </w:tc>
        <w:tc>
          <w:tcPr>
            <w:tcW w:w="3250" w:type="dxa"/>
            <w:tcBorders>
              <w:top w:val="single" w:sz="2" w:space="0" w:color="999999"/>
              <w:left w:val="nil"/>
              <w:bottom w:val="single" w:sz="2" w:space="0" w:color="999999"/>
              <w:right w:val="nil"/>
            </w:tcBorders>
            <w:shd w:val="clear" w:color="auto" w:fill="auto"/>
            <w:vAlign w:val="center"/>
          </w:tcPr>
          <w:p w14:paraId="6FE60732" w14:textId="77777777" w:rsidR="00B77AEC" w:rsidRPr="00634279" w:rsidRDefault="00103376">
            <w:pPr>
              <w:spacing w:before="20" w:after="20"/>
              <w:rPr>
                <w:color w:val="000000" w:themeColor="text1"/>
              </w:rPr>
            </w:pPr>
            <w:r w:rsidRPr="00634279">
              <w:rPr>
                <w:color w:val="000000" w:themeColor="text1"/>
                <w:sz w:val="18"/>
                <w:szCs w:val="18"/>
              </w:rPr>
              <w:t>Up to 80% (Tier III compliant)</w:t>
            </w:r>
          </w:p>
        </w:tc>
        <w:tc>
          <w:tcPr>
            <w:tcW w:w="3419" w:type="dxa"/>
            <w:tcBorders>
              <w:top w:val="single" w:sz="2" w:space="0" w:color="999999"/>
              <w:left w:val="nil"/>
              <w:bottom w:val="single" w:sz="2" w:space="0" w:color="999999"/>
              <w:right w:val="nil"/>
            </w:tcBorders>
            <w:shd w:val="clear" w:color="auto" w:fill="auto"/>
            <w:vAlign w:val="center"/>
          </w:tcPr>
          <w:p w14:paraId="6FE60733" w14:textId="77777777" w:rsidR="00B77AEC" w:rsidRPr="00634279" w:rsidRDefault="00103376">
            <w:pPr>
              <w:spacing w:before="20" w:after="20"/>
              <w:rPr>
                <w:color w:val="000000" w:themeColor="text1"/>
              </w:rPr>
            </w:pPr>
            <w:r w:rsidRPr="00634279">
              <w:rPr>
                <w:color w:val="000000" w:themeColor="text1"/>
                <w:sz w:val="18"/>
                <w:szCs w:val="18"/>
              </w:rPr>
              <w:t>Up to 90%+ (Tier III compliant)</w:t>
            </w:r>
          </w:p>
        </w:tc>
      </w:tr>
      <w:tr w:rsidR="00634279" w:rsidRPr="00634279" w14:paraId="6FE60738" w14:textId="77777777" w:rsidTr="0093227C">
        <w:tblPrEx>
          <w:tblCellMar>
            <w:top w:w="0" w:type="dxa"/>
            <w:bottom w:w="0" w:type="dxa"/>
          </w:tblCellMar>
        </w:tblPrEx>
        <w:trPr>
          <w:jc w:val="center"/>
        </w:trPr>
        <w:tc>
          <w:tcPr>
            <w:tcW w:w="2160" w:type="dxa"/>
            <w:tcBorders>
              <w:top w:val="single" w:sz="2" w:space="0" w:color="999999"/>
              <w:left w:val="nil"/>
              <w:bottom w:val="single" w:sz="2" w:space="0" w:color="999999"/>
              <w:right w:val="nil"/>
            </w:tcBorders>
            <w:shd w:val="clear" w:color="auto" w:fill="auto"/>
            <w:vAlign w:val="center"/>
          </w:tcPr>
          <w:p w14:paraId="6FE60735" w14:textId="77777777" w:rsidR="00B77AEC" w:rsidRPr="00634279" w:rsidRDefault="00103376">
            <w:pPr>
              <w:spacing w:before="20" w:after="20"/>
              <w:rPr>
                <w:color w:val="000000" w:themeColor="text1"/>
              </w:rPr>
            </w:pPr>
            <w:r w:rsidRPr="00634279">
              <w:rPr>
                <w:color w:val="000000" w:themeColor="text1"/>
                <w:sz w:val="18"/>
                <w:szCs w:val="18"/>
              </w:rPr>
              <w:t>Implementation Cost</w:t>
            </w:r>
          </w:p>
        </w:tc>
        <w:tc>
          <w:tcPr>
            <w:tcW w:w="3250" w:type="dxa"/>
            <w:tcBorders>
              <w:top w:val="single" w:sz="2" w:space="0" w:color="999999"/>
              <w:left w:val="nil"/>
              <w:bottom w:val="single" w:sz="2" w:space="0" w:color="999999"/>
              <w:right w:val="nil"/>
            </w:tcBorders>
            <w:shd w:val="clear" w:color="auto" w:fill="auto"/>
            <w:vAlign w:val="center"/>
          </w:tcPr>
          <w:p w14:paraId="6FE60736" w14:textId="77777777" w:rsidR="00B77AEC" w:rsidRPr="00634279" w:rsidRDefault="00103376">
            <w:pPr>
              <w:spacing w:before="20" w:after="20"/>
              <w:rPr>
                <w:color w:val="000000" w:themeColor="text1"/>
              </w:rPr>
            </w:pPr>
            <w:r w:rsidRPr="00634279">
              <w:rPr>
                <w:color w:val="000000" w:themeColor="text1"/>
                <w:sz w:val="18"/>
                <w:szCs w:val="18"/>
              </w:rPr>
              <w:t>Lower; integrated into engine design</w:t>
            </w:r>
          </w:p>
        </w:tc>
        <w:tc>
          <w:tcPr>
            <w:tcW w:w="3419" w:type="dxa"/>
            <w:tcBorders>
              <w:top w:val="single" w:sz="2" w:space="0" w:color="999999"/>
              <w:left w:val="nil"/>
              <w:bottom w:val="single" w:sz="2" w:space="0" w:color="999999"/>
              <w:right w:val="nil"/>
            </w:tcBorders>
            <w:shd w:val="clear" w:color="auto" w:fill="auto"/>
            <w:vAlign w:val="center"/>
          </w:tcPr>
          <w:p w14:paraId="6FE60737" w14:textId="77777777" w:rsidR="00B77AEC" w:rsidRPr="00634279" w:rsidRDefault="00103376">
            <w:pPr>
              <w:spacing w:before="20" w:after="20"/>
              <w:rPr>
                <w:color w:val="000000" w:themeColor="text1"/>
              </w:rPr>
            </w:pPr>
            <w:r w:rsidRPr="00634279">
              <w:rPr>
                <w:color w:val="000000" w:themeColor="text1"/>
                <w:sz w:val="18"/>
                <w:szCs w:val="18"/>
              </w:rPr>
              <w:t>Higher; requires catalyst, reductant tank, and injection system</w:t>
            </w:r>
          </w:p>
        </w:tc>
      </w:tr>
      <w:tr w:rsidR="00634279" w:rsidRPr="00634279" w14:paraId="6FE6073C" w14:textId="77777777" w:rsidTr="0093227C">
        <w:tblPrEx>
          <w:tblCellMar>
            <w:top w:w="0" w:type="dxa"/>
            <w:bottom w:w="0" w:type="dxa"/>
          </w:tblCellMar>
        </w:tblPrEx>
        <w:trPr>
          <w:jc w:val="center"/>
        </w:trPr>
        <w:tc>
          <w:tcPr>
            <w:tcW w:w="2160" w:type="dxa"/>
            <w:tcBorders>
              <w:top w:val="single" w:sz="2" w:space="0" w:color="999999"/>
              <w:left w:val="nil"/>
              <w:bottom w:val="single" w:sz="2" w:space="0" w:color="999999"/>
              <w:right w:val="nil"/>
            </w:tcBorders>
            <w:shd w:val="clear" w:color="auto" w:fill="auto"/>
            <w:vAlign w:val="center"/>
          </w:tcPr>
          <w:p w14:paraId="6FE60739" w14:textId="77777777" w:rsidR="00B77AEC" w:rsidRPr="00634279" w:rsidRDefault="00103376">
            <w:pPr>
              <w:spacing w:before="20" w:after="20"/>
              <w:rPr>
                <w:color w:val="000000" w:themeColor="text1"/>
              </w:rPr>
            </w:pPr>
            <w:r w:rsidRPr="00634279">
              <w:rPr>
                <w:color w:val="000000" w:themeColor="text1"/>
                <w:sz w:val="18"/>
                <w:szCs w:val="18"/>
              </w:rPr>
              <w:t>Operating Cost</w:t>
            </w:r>
          </w:p>
        </w:tc>
        <w:tc>
          <w:tcPr>
            <w:tcW w:w="3250" w:type="dxa"/>
            <w:tcBorders>
              <w:top w:val="single" w:sz="2" w:space="0" w:color="999999"/>
              <w:left w:val="nil"/>
              <w:bottom w:val="single" w:sz="2" w:space="0" w:color="999999"/>
              <w:right w:val="nil"/>
            </w:tcBorders>
            <w:shd w:val="clear" w:color="auto" w:fill="auto"/>
            <w:vAlign w:val="center"/>
          </w:tcPr>
          <w:p w14:paraId="6FE6073A" w14:textId="77777777" w:rsidR="00B77AEC" w:rsidRPr="00634279" w:rsidRDefault="00103376">
            <w:pPr>
              <w:spacing w:before="20" w:after="20"/>
              <w:rPr>
                <w:color w:val="000000" w:themeColor="text1"/>
              </w:rPr>
            </w:pPr>
            <w:r w:rsidRPr="00634279">
              <w:rPr>
                <w:color w:val="000000" w:themeColor="text1"/>
                <w:sz w:val="18"/>
                <w:szCs w:val="18"/>
              </w:rPr>
              <w:t>Lower; uses NaOH and wash water</w:t>
            </w:r>
          </w:p>
        </w:tc>
        <w:tc>
          <w:tcPr>
            <w:tcW w:w="3419" w:type="dxa"/>
            <w:tcBorders>
              <w:top w:val="single" w:sz="2" w:space="0" w:color="999999"/>
              <w:left w:val="nil"/>
              <w:bottom w:val="single" w:sz="2" w:space="0" w:color="999999"/>
              <w:right w:val="nil"/>
            </w:tcBorders>
            <w:shd w:val="clear" w:color="auto" w:fill="auto"/>
            <w:vAlign w:val="center"/>
          </w:tcPr>
          <w:p w14:paraId="6FE6073B" w14:textId="77777777" w:rsidR="00B77AEC" w:rsidRPr="00634279" w:rsidRDefault="00103376">
            <w:pPr>
              <w:spacing w:before="20" w:after="20"/>
              <w:rPr>
                <w:color w:val="000000" w:themeColor="text1"/>
              </w:rPr>
            </w:pPr>
            <w:r w:rsidRPr="00634279">
              <w:rPr>
                <w:color w:val="000000" w:themeColor="text1"/>
                <w:sz w:val="18"/>
                <w:szCs w:val="18"/>
              </w:rPr>
              <w:t>Higher; continuous urea/AdBlue consumption</w:t>
            </w:r>
          </w:p>
        </w:tc>
      </w:tr>
      <w:tr w:rsidR="00634279" w:rsidRPr="00634279" w14:paraId="6FE60740" w14:textId="77777777" w:rsidTr="0093227C">
        <w:tblPrEx>
          <w:tblCellMar>
            <w:top w:w="0" w:type="dxa"/>
            <w:bottom w:w="0" w:type="dxa"/>
          </w:tblCellMar>
        </w:tblPrEx>
        <w:trPr>
          <w:jc w:val="center"/>
        </w:trPr>
        <w:tc>
          <w:tcPr>
            <w:tcW w:w="2160" w:type="dxa"/>
            <w:tcBorders>
              <w:top w:val="single" w:sz="2" w:space="0" w:color="999999"/>
              <w:left w:val="nil"/>
              <w:bottom w:val="single" w:sz="2" w:space="0" w:color="999999"/>
              <w:right w:val="nil"/>
            </w:tcBorders>
            <w:shd w:val="clear" w:color="auto" w:fill="auto"/>
            <w:vAlign w:val="center"/>
          </w:tcPr>
          <w:p w14:paraId="6FE6073D" w14:textId="77777777" w:rsidR="00B77AEC" w:rsidRPr="00634279" w:rsidRDefault="00103376">
            <w:pPr>
              <w:spacing w:before="20" w:after="20"/>
              <w:rPr>
                <w:color w:val="000000" w:themeColor="text1"/>
              </w:rPr>
            </w:pPr>
            <w:r w:rsidRPr="00634279">
              <w:rPr>
                <w:color w:val="000000" w:themeColor="text1"/>
                <w:sz w:val="18"/>
                <w:szCs w:val="18"/>
              </w:rPr>
              <w:t>Space Requirement</w:t>
            </w:r>
          </w:p>
        </w:tc>
        <w:tc>
          <w:tcPr>
            <w:tcW w:w="3250" w:type="dxa"/>
            <w:tcBorders>
              <w:top w:val="single" w:sz="2" w:space="0" w:color="999999"/>
              <w:left w:val="nil"/>
              <w:bottom w:val="single" w:sz="2" w:space="0" w:color="999999"/>
              <w:right w:val="nil"/>
            </w:tcBorders>
            <w:shd w:val="clear" w:color="auto" w:fill="auto"/>
            <w:vAlign w:val="center"/>
          </w:tcPr>
          <w:p w14:paraId="6FE6073E" w14:textId="77777777" w:rsidR="00B77AEC" w:rsidRPr="00634279" w:rsidRDefault="00103376">
            <w:pPr>
              <w:spacing w:before="20" w:after="20"/>
              <w:rPr>
                <w:color w:val="000000" w:themeColor="text1"/>
              </w:rPr>
            </w:pPr>
            <w:r w:rsidRPr="00634279">
              <w:rPr>
                <w:color w:val="000000" w:themeColor="text1"/>
                <w:sz w:val="18"/>
                <w:szCs w:val="18"/>
              </w:rPr>
              <w:t>Moderate; integrated into engine system</w:t>
            </w:r>
          </w:p>
        </w:tc>
        <w:tc>
          <w:tcPr>
            <w:tcW w:w="3419" w:type="dxa"/>
            <w:tcBorders>
              <w:top w:val="single" w:sz="2" w:space="0" w:color="999999"/>
              <w:left w:val="nil"/>
              <w:bottom w:val="single" w:sz="2" w:space="0" w:color="999999"/>
              <w:right w:val="nil"/>
            </w:tcBorders>
            <w:shd w:val="clear" w:color="auto" w:fill="auto"/>
            <w:vAlign w:val="center"/>
          </w:tcPr>
          <w:p w14:paraId="6FE6073F" w14:textId="77777777" w:rsidR="00B77AEC" w:rsidRPr="00634279" w:rsidRDefault="00103376">
            <w:pPr>
              <w:spacing w:before="20" w:after="20"/>
              <w:rPr>
                <w:color w:val="000000" w:themeColor="text1"/>
              </w:rPr>
            </w:pPr>
            <w:r w:rsidRPr="00634279">
              <w:rPr>
                <w:color w:val="000000" w:themeColor="text1"/>
                <w:sz w:val="18"/>
                <w:szCs w:val="18"/>
              </w:rPr>
              <w:t>Large; reactor, reductant storage, and piping</w:t>
            </w:r>
          </w:p>
        </w:tc>
      </w:tr>
      <w:tr w:rsidR="00634279" w:rsidRPr="00634279" w14:paraId="6FE60744" w14:textId="77777777" w:rsidTr="0093227C">
        <w:tblPrEx>
          <w:tblCellMar>
            <w:top w:w="0" w:type="dxa"/>
            <w:bottom w:w="0" w:type="dxa"/>
          </w:tblCellMar>
        </w:tblPrEx>
        <w:trPr>
          <w:jc w:val="center"/>
        </w:trPr>
        <w:tc>
          <w:tcPr>
            <w:tcW w:w="2160" w:type="dxa"/>
            <w:tcBorders>
              <w:top w:val="single" w:sz="2" w:space="0" w:color="999999"/>
              <w:left w:val="nil"/>
              <w:bottom w:val="single" w:sz="2" w:space="0" w:color="999999"/>
              <w:right w:val="nil"/>
            </w:tcBorders>
            <w:shd w:val="clear" w:color="auto" w:fill="auto"/>
            <w:vAlign w:val="center"/>
          </w:tcPr>
          <w:p w14:paraId="6FE60741" w14:textId="77777777" w:rsidR="00B77AEC" w:rsidRPr="00634279" w:rsidRDefault="00103376">
            <w:pPr>
              <w:spacing w:before="20" w:after="20"/>
              <w:rPr>
                <w:color w:val="000000" w:themeColor="text1"/>
              </w:rPr>
            </w:pPr>
            <w:r w:rsidRPr="00634279">
              <w:rPr>
                <w:color w:val="000000" w:themeColor="text1"/>
                <w:sz w:val="18"/>
                <w:szCs w:val="18"/>
              </w:rPr>
              <w:t>Temperature Dependency</w:t>
            </w:r>
          </w:p>
        </w:tc>
        <w:tc>
          <w:tcPr>
            <w:tcW w:w="3250" w:type="dxa"/>
            <w:tcBorders>
              <w:top w:val="single" w:sz="2" w:space="0" w:color="999999"/>
              <w:left w:val="nil"/>
              <w:bottom w:val="single" w:sz="2" w:space="0" w:color="999999"/>
              <w:right w:val="nil"/>
            </w:tcBorders>
            <w:shd w:val="clear" w:color="auto" w:fill="auto"/>
            <w:vAlign w:val="center"/>
          </w:tcPr>
          <w:p w14:paraId="6FE60742" w14:textId="77777777" w:rsidR="00B77AEC" w:rsidRPr="00634279" w:rsidRDefault="00103376">
            <w:pPr>
              <w:spacing w:before="20" w:after="20"/>
              <w:rPr>
                <w:color w:val="000000" w:themeColor="text1"/>
              </w:rPr>
            </w:pPr>
            <w:r w:rsidRPr="00634279">
              <w:rPr>
                <w:color w:val="000000" w:themeColor="text1"/>
                <w:sz w:val="18"/>
                <w:szCs w:val="18"/>
              </w:rPr>
              <w:t>Low; effective across load range with CBV</w:t>
            </w:r>
          </w:p>
        </w:tc>
        <w:tc>
          <w:tcPr>
            <w:tcW w:w="3419" w:type="dxa"/>
            <w:tcBorders>
              <w:top w:val="single" w:sz="2" w:space="0" w:color="999999"/>
              <w:left w:val="nil"/>
              <w:bottom w:val="single" w:sz="2" w:space="0" w:color="999999"/>
              <w:right w:val="nil"/>
            </w:tcBorders>
            <w:shd w:val="clear" w:color="auto" w:fill="auto"/>
            <w:vAlign w:val="center"/>
          </w:tcPr>
          <w:p w14:paraId="6FE60743" w14:textId="77777777" w:rsidR="00B77AEC" w:rsidRPr="00634279" w:rsidRDefault="00103376">
            <w:pPr>
              <w:spacing w:before="20" w:after="20"/>
              <w:rPr>
                <w:color w:val="000000" w:themeColor="text1"/>
              </w:rPr>
            </w:pPr>
            <w:r w:rsidRPr="00634279">
              <w:rPr>
                <w:color w:val="000000" w:themeColor="text1"/>
                <w:sz w:val="18"/>
                <w:szCs w:val="18"/>
              </w:rPr>
              <w:t>High; requires 300–400°C for catalyst activation</w:t>
            </w:r>
          </w:p>
        </w:tc>
      </w:tr>
      <w:tr w:rsidR="00634279" w:rsidRPr="00634279" w14:paraId="6FE60748" w14:textId="77777777" w:rsidTr="0093227C">
        <w:tblPrEx>
          <w:tblCellMar>
            <w:top w:w="0" w:type="dxa"/>
            <w:bottom w:w="0" w:type="dxa"/>
          </w:tblCellMar>
        </w:tblPrEx>
        <w:trPr>
          <w:jc w:val="center"/>
        </w:trPr>
        <w:tc>
          <w:tcPr>
            <w:tcW w:w="2160" w:type="dxa"/>
            <w:tcBorders>
              <w:top w:val="single" w:sz="2" w:space="0" w:color="999999"/>
              <w:left w:val="nil"/>
              <w:bottom w:val="single" w:sz="2" w:space="0" w:color="999999"/>
              <w:right w:val="nil"/>
            </w:tcBorders>
            <w:shd w:val="clear" w:color="auto" w:fill="auto"/>
            <w:vAlign w:val="center"/>
          </w:tcPr>
          <w:p w14:paraId="6FE60745" w14:textId="77777777" w:rsidR="00B77AEC" w:rsidRPr="00634279" w:rsidRDefault="00103376">
            <w:pPr>
              <w:spacing w:before="20" w:after="20"/>
              <w:rPr>
                <w:color w:val="000000" w:themeColor="text1"/>
              </w:rPr>
            </w:pPr>
            <w:r w:rsidRPr="00634279">
              <w:rPr>
                <w:color w:val="000000" w:themeColor="text1"/>
                <w:sz w:val="18"/>
                <w:szCs w:val="18"/>
              </w:rPr>
              <w:t>CO₂ Reduction</w:t>
            </w:r>
          </w:p>
        </w:tc>
        <w:tc>
          <w:tcPr>
            <w:tcW w:w="3250" w:type="dxa"/>
            <w:tcBorders>
              <w:top w:val="single" w:sz="2" w:space="0" w:color="999999"/>
              <w:left w:val="nil"/>
              <w:bottom w:val="single" w:sz="2" w:space="0" w:color="999999"/>
              <w:right w:val="nil"/>
            </w:tcBorders>
            <w:shd w:val="clear" w:color="auto" w:fill="auto"/>
            <w:vAlign w:val="center"/>
          </w:tcPr>
          <w:p w14:paraId="6FE60746" w14:textId="77777777" w:rsidR="00B77AEC" w:rsidRPr="00634279" w:rsidRDefault="00103376">
            <w:pPr>
              <w:spacing w:before="20" w:after="20"/>
              <w:rPr>
                <w:color w:val="000000" w:themeColor="text1"/>
              </w:rPr>
            </w:pPr>
            <w:r w:rsidRPr="00634279">
              <w:rPr>
                <w:color w:val="000000" w:themeColor="text1"/>
                <w:sz w:val="18"/>
                <w:szCs w:val="18"/>
              </w:rPr>
              <w:t>Indirect; improved fuel efficiency</w:t>
            </w:r>
          </w:p>
        </w:tc>
        <w:tc>
          <w:tcPr>
            <w:tcW w:w="3419" w:type="dxa"/>
            <w:tcBorders>
              <w:top w:val="single" w:sz="2" w:space="0" w:color="999999"/>
              <w:left w:val="nil"/>
              <w:bottom w:val="single" w:sz="2" w:space="0" w:color="999999"/>
              <w:right w:val="nil"/>
            </w:tcBorders>
            <w:shd w:val="clear" w:color="auto" w:fill="auto"/>
            <w:vAlign w:val="center"/>
          </w:tcPr>
          <w:p w14:paraId="6FE60747" w14:textId="77777777" w:rsidR="00B77AEC" w:rsidRPr="00634279" w:rsidRDefault="00103376">
            <w:pPr>
              <w:spacing w:before="20" w:after="20"/>
              <w:rPr>
                <w:color w:val="000000" w:themeColor="text1"/>
              </w:rPr>
            </w:pPr>
            <w:r w:rsidRPr="00634279">
              <w:rPr>
                <w:color w:val="000000" w:themeColor="text1"/>
                <w:sz w:val="18"/>
                <w:szCs w:val="18"/>
              </w:rPr>
              <w:t>None; does not reduce CO₂</w:t>
            </w:r>
          </w:p>
        </w:tc>
      </w:tr>
      <w:tr w:rsidR="00634279" w:rsidRPr="00634279" w14:paraId="6FE6074C" w14:textId="77777777" w:rsidTr="0093227C">
        <w:tblPrEx>
          <w:tblCellMar>
            <w:top w:w="0" w:type="dxa"/>
            <w:bottom w:w="0" w:type="dxa"/>
          </w:tblCellMar>
        </w:tblPrEx>
        <w:trPr>
          <w:jc w:val="center"/>
        </w:trPr>
        <w:tc>
          <w:tcPr>
            <w:tcW w:w="2160" w:type="dxa"/>
            <w:tcBorders>
              <w:top w:val="single" w:sz="2" w:space="0" w:color="999999"/>
              <w:left w:val="nil"/>
              <w:bottom w:val="single" w:sz="2" w:space="0" w:color="999999"/>
              <w:right w:val="nil"/>
            </w:tcBorders>
            <w:shd w:val="clear" w:color="auto" w:fill="auto"/>
            <w:vAlign w:val="center"/>
          </w:tcPr>
          <w:p w14:paraId="6FE60749" w14:textId="77777777" w:rsidR="00B77AEC" w:rsidRPr="00634279" w:rsidRDefault="00103376">
            <w:pPr>
              <w:spacing w:before="20" w:after="20"/>
              <w:rPr>
                <w:color w:val="000000" w:themeColor="text1"/>
              </w:rPr>
            </w:pPr>
            <w:r w:rsidRPr="00634279">
              <w:rPr>
                <w:color w:val="000000" w:themeColor="text1"/>
                <w:sz w:val="18"/>
                <w:szCs w:val="18"/>
              </w:rPr>
              <w:t>Retrofit Suitability</w:t>
            </w:r>
          </w:p>
        </w:tc>
        <w:tc>
          <w:tcPr>
            <w:tcW w:w="3250" w:type="dxa"/>
            <w:tcBorders>
              <w:top w:val="single" w:sz="2" w:space="0" w:color="999999"/>
              <w:left w:val="nil"/>
              <w:bottom w:val="single" w:sz="2" w:space="0" w:color="999999"/>
              <w:right w:val="nil"/>
            </w:tcBorders>
            <w:shd w:val="clear" w:color="auto" w:fill="auto"/>
            <w:vAlign w:val="center"/>
          </w:tcPr>
          <w:p w14:paraId="6FE6074A" w14:textId="77777777" w:rsidR="00B77AEC" w:rsidRPr="00634279" w:rsidRDefault="00103376">
            <w:pPr>
              <w:spacing w:before="20" w:after="20"/>
              <w:rPr>
                <w:color w:val="000000" w:themeColor="text1"/>
              </w:rPr>
            </w:pPr>
            <w:r w:rsidRPr="00634279">
              <w:rPr>
                <w:color w:val="000000" w:themeColor="text1"/>
                <w:sz w:val="18"/>
                <w:szCs w:val="18"/>
              </w:rPr>
              <w:t>Good; adaptable to older engines</w:t>
            </w:r>
          </w:p>
        </w:tc>
        <w:tc>
          <w:tcPr>
            <w:tcW w:w="3419" w:type="dxa"/>
            <w:tcBorders>
              <w:top w:val="single" w:sz="2" w:space="0" w:color="999999"/>
              <w:left w:val="nil"/>
              <w:bottom w:val="single" w:sz="2" w:space="0" w:color="999999"/>
              <w:right w:val="nil"/>
            </w:tcBorders>
            <w:shd w:val="clear" w:color="auto" w:fill="auto"/>
            <w:vAlign w:val="center"/>
          </w:tcPr>
          <w:p w14:paraId="6FE6074B" w14:textId="77777777" w:rsidR="00B77AEC" w:rsidRPr="00634279" w:rsidRDefault="00103376">
            <w:pPr>
              <w:spacing w:before="20" w:after="20"/>
              <w:rPr>
                <w:color w:val="000000" w:themeColor="text1"/>
              </w:rPr>
            </w:pPr>
            <w:r w:rsidRPr="00634279">
              <w:rPr>
                <w:color w:val="000000" w:themeColor="text1"/>
                <w:sz w:val="18"/>
                <w:szCs w:val="18"/>
              </w:rPr>
              <w:t>Moderate; requires significant space</w:t>
            </w:r>
          </w:p>
        </w:tc>
      </w:tr>
    </w:tbl>
    <w:p w14:paraId="6FE6074D" w14:textId="77777777" w:rsidR="00B77AEC" w:rsidRPr="00634279" w:rsidRDefault="00103376">
      <w:pPr>
        <w:spacing w:before="40" w:after="120"/>
        <w:jc w:val="center"/>
        <w:rPr>
          <w:color w:val="000000" w:themeColor="text1"/>
        </w:rPr>
      </w:pPr>
      <w:r w:rsidRPr="00634279">
        <w:rPr>
          <w:i/>
          <w:iCs/>
          <w:color w:val="000000" w:themeColor="text1"/>
          <w:sz w:val="16"/>
          <w:szCs w:val="16"/>
        </w:rPr>
        <w:t>Source: Compiled from MAN Technical Paper, Okubo (2019), and IMO MEPC documentation</w:t>
      </w:r>
    </w:p>
    <w:p w14:paraId="6FE6074E" w14:textId="77777777" w:rsidR="00B77AEC" w:rsidRPr="00634279" w:rsidRDefault="00B77AEC">
      <w:pPr>
        <w:rPr>
          <w:color w:val="000000" w:themeColor="text1"/>
        </w:rPr>
        <w:sectPr w:rsidR="00B77AEC" w:rsidRPr="00634279">
          <w:type w:val="continuous"/>
          <w:pgSz w:w="11906" w:h="16838"/>
          <w:pgMar w:top="1134" w:right="1134" w:bottom="1134" w:left="1134" w:header="708" w:footer="708" w:gutter="0"/>
          <w:cols w:space="720"/>
          <w:docGrid w:linePitch="360"/>
        </w:sectPr>
      </w:pPr>
    </w:p>
    <w:p w14:paraId="6FE6074F" w14:textId="77777777" w:rsidR="00B77AEC" w:rsidRPr="00634279" w:rsidRDefault="00103376" w:rsidP="0093227C">
      <w:pPr>
        <w:spacing w:before="200" w:after="120"/>
        <w:rPr>
          <w:color w:val="000000" w:themeColor="text1"/>
        </w:rPr>
      </w:pPr>
      <w:r w:rsidRPr="00634279">
        <w:rPr>
          <w:b/>
          <w:bCs/>
          <w:color w:val="000000" w:themeColor="text1"/>
        </w:rPr>
        <w:t>III. RESEARCH METHODOLOGY</w:t>
      </w:r>
    </w:p>
    <w:p w14:paraId="6FE60750" w14:textId="77777777" w:rsidR="00B77AEC" w:rsidRPr="00634279" w:rsidRDefault="00103376" w:rsidP="0093227C">
      <w:pPr>
        <w:spacing w:after="60"/>
        <w:ind w:firstLine="284"/>
        <w:jc w:val="both"/>
        <w:rPr>
          <w:color w:val="000000" w:themeColor="text1"/>
        </w:rPr>
      </w:pPr>
      <w:r w:rsidRPr="00634279">
        <w:rPr>
          <w:color w:val="000000" w:themeColor="text1"/>
        </w:rPr>
        <w:t xml:space="preserve">This research was conducted during the sea practice period on board MV. Maersk </w:t>
      </w:r>
      <w:proofErr w:type="spellStart"/>
      <w:r w:rsidRPr="00634279">
        <w:rPr>
          <w:color w:val="000000" w:themeColor="text1"/>
        </w:rPr>
        <w:t>Noresund</w:t>
      </w:r>
      <w:proofErr w:type="spellEnd"/>
      <w:r w:rsidRPr="00634279">
        <w:rPr>
          <w:color w:val="000000" w:themeColor="text1"/>
        </w:rPr>
        <w:t xml:space="preserve"> (IMO No. 9894686), a Panama-flagged container vessel with a gross tonnage of 25,805 tons, a net tonnage of 7,742 tons, and a length of 171.93 meters. The vessel was built in 2021 by </w:t>
      </w:r>
      <w:proofErr w:type="spellStart"/>
      <w:r w:rsidRPr="00634279">
        <w:rPr>
          <w:color w:val="000000" w:themeColor="text1"/>
        </w:rPr>
        <w:t>Imabari</w:t>
      </w:r>
      <w:proofErr w:type="spellEnd"/>
      <w:r w:rsidRPr="00634279">
        <w:rPr>
          <w:color w:val="000000" w:themeColor="text1"/>
        </w:rPr>
        <w:t xml:space="preserve"> Shipbuilding Co., Ltd., owned by Catalina Shipping S.A., and operated by </w:t>
      </w:r>
      <w:proofErr w:type="spellStart"/>
      <w:r w:rsidRPr="00634279">
        <w:rPr>
          <w:color w:val="000000" w:themeColor="text1"/>
        </w:rPr>
        <w:t>Sealand</w:t>
      </w:r>
      <w:proofErr w:type="spellEnd"/>
      <w:r w:rsidRPr="00634279">
        <w:rPr>
          <w:color w:val="000000" w:themeColor="text1"/>
        </w:rPr>
        <w:t xml:space="preserve"> Maersk Asia Pte, Ltd. on ocean-going routes. The main engine is a Mitsui-MAN B&amp;W 6S60ME-C10.5-EGRBP two-stroke diesel with integrated EGR capability. The research period extended from June 23, 2021, to July 12, 2022, during which th</w:t>
      </w:r>
      <w:r w:rsidRPr="00634279">
        <w:rPr>
          <w:color w:val="000000" w:themeColor="text1"/>
        </w:rPr>
        <w:t xml:space="preserve">e author served as engine cadet under PT. </w:t>
      </w:r>
      <w:proofErr w:type="spellStart"/>
      <w:r w:rsidRPr="00634279">
        <w:rPr>
          <w:color w:val="000000" w:themeColor="text1"/>
        </w:rPr>
        <w:t>Jasindo</w:t>
      </w:r>
      <w:proofErr w:type="spellEnd"/>
      <w:r w:rsidRPr="00634279">
        <w:rPr>
          <w:color w:val="000000" w:themeColor="text1"/>
        </w:rPr>
        <w:t xml:space="preserve"> Duta </w:t>
      </w:r>
      <w:proofErr w:type="spellStart"/>
      <w:r w:rsidRPr="00634279">
        <w:rPr>
          <w:color w:val="000000" w:themeColor="text1"/>
        </w:rPr>
        <w:t>Segara</w:t>
      </w:r>
      <w:proofErr w:type="spellEnd"/>
      <w:r w:rsidRPr="00634279">
        <w:rPr>
          <w:color w:val="000000" w:themeColor="text1"/>
        </w:rPr>
        <w:t>.</w:t>
      </w:r>
    </w:p>
    <w:p w14:paraId="6FE60751" w14:textId="77777777" w:rsidR="00B77AEC" w:rsidRPr="00634279" w:rsidRDefault="00103376">
      <w:pPr>
        <w:spacing w:before="160" w:after="80"/>
        <w:ind w:left="284"/>
        <w:rPr>
          <w:color w:val="000000" w:themeColor="text1"/>
        </w:rPr>
      </w:pPr>
      <w:r w:rsidRPr="00634279">
        <w:rPr>
          <w:b/>
          <w:bCs/>
          <w:i/>
          <w:iCs/>
          <w:color w:val="000000" w:themeColor="text1"/>
        </w:rPr>
        <w:t>A. Research Approach and Data Collection</w:t>
      </w:r>
    </w:p>
    <w:p w14:paraId="6FE60752" w14:textId="77777777" w:rsidR="00B77AEC" w:rsidRPr="00634279" w:rsidRDefault="00103376" w:rsidP="0093227C">
      <w:pPr>
        <w:spacing w:after="60"/>
        <w:ind w:firstLine="284"/>
        <w:jc w:val="both"/>
        <w:rPr>
          <w:color w:val="000000" w:themeColor="text1"/>
        </w:rPr>
      </w:pPr>
      <w:r w:rsidRPr="00634279">
        <w:rPr>
          <w:color w:val="000000" w:themeColor="text1"/>
        </w:rPr>
        <w:t>The study employed a descriptive qualitative research method, emphasizing the development of narrative and textual descriptions of observed phenomena. According to Mukhtar (2013), descriptive qualitative research is a method used to discover knowledge or theory regarding research at a specific point in time. This approach was selected because the research involved direct observation of the EGR system's working principles and operational performance during the sea practice period, gathering firsthand knowled</w:t>
      </w:r>
      <w:r w:rsidRPr="00634279">
        <w:rPr>
          <w:color w:val="000000" w:themeColor="text1"/>
        </w:rPr>
        <w:t>ge of system operation, maintenance procedures, and emission reduction processes.</w:t>
      </w:r>
    </w:p>
    <w:p w14:paraId="6FE60753" w14:textId="77777777" w:rsidR="00B77AEC" w:rsidRPr="00634279" w:rsidRDefault="00103376" w:rsidP="0093227C">
      <w:pPr>
        <w:spacing w:after="60"/>
        <w:ind w:firstLine="284"/>
        <w:jc w:val="both"/>
        <w:rPr>
          <w:color w:val="000000" w:themeColor="text1"/>
        </w:rPr>
      </w:pPr>
      <w:r w:rsidRPr="00634279">
        <w:rPr>
          <w:color w:val="000000" w:themeColor="text1"/>
        </w:rPr>
        <w:t>Data were collected through four techniques. Direct observation focused on the EGR system's operational sequence, component functions, control parameters (oxygen concentration in scavenging air, pH levels in wash water, blower speed, and valve positions), and emission monitoring data. Interviews were conducted with the First Engineer, who holds direct responsibility for the main engine and EGR system. Documentation review encompassed the MAN B&amp;W instruction manual book, engine log book records, and the Plan</w:t>
      </w:r>
      <w:r w:rsidRPr="00634279">
        <w:rPr>
          <w:color w:val="000000" w:themeColor="text1"/>
        </w:rPr>
        <w:t xml:space="preserve">ned Maintenance System documentation for the EGR components. A literature study complemented the primary data with </w:t>
      </w:r>
      <w:r w:rsidRPr="00634279">
        <w:rPr>
          <w:color w:val="000000" w:themeColor="text1"/>
        </w:rPr>
        <w:t>published research, IMO regulations, and technical references on EGR and SCR technologies.</w:t>
      </w:r>
    </w:p>
    <w:p w14:paraId="6FE60754" w14:textId="77777777" w:rsidR="00B77AEC" w:rsidRPr="00634279" w:rsidRDefault="00103376">
      <w:pPr>
        <w:spacing w:before="160" w:after="80"/>
        <w:ind w:left="284"/>
        <w:rPr>
          <w:color w:val="000000" w:themeColor="text1"/>
        </w:rPr>
      </w:pPr>
      <w:r w:rsidRPr="00634279">
        <w:rPr>
          <w:b/>
          <w:bCs/>
          <w:i/>
          <w:iCs/>
          <w:color w:val="000000" w:themeColor="text1"/>
        </w:rPr>
        <w:t>B. Data Analysis Method</w:t>
      </w:r>
    </w:p>
    <w:p w14:paraId="6FE60755" w14:textId="77777777" w:rsidR="00B77AEC" w:rsidRPr="00634279" w:rsidRDefault="00103376" w:rsidP="0093227C">
      <w:pPr>
        <w:spacing w:after="60"/>
        <w:ind w:firstLine="284"/>
        <w:jc w:val="both"/>
        <w:rPr>
          <w:color w:val="000000" w:themeColor="text1"/>
        </w:rPr>
      </w:pPr>
      <w:r w:rsidRPr="00634279">
        <w:rPr>
          <w:color w:val="000000" w:themeColor="text1"/>
        </w:rPr>
        <w:t>The data analysis employed descriptive qualitative analysis to identify and characterize the environmental impacts of NOx emissions from the main engine combustion process, and to systematically document the EGR system's role, operational procedures, and maintenance requirements in achieving Tier III NOx emission compliance. The analysis incorporated a comparative evaluation framework, examining the advantages and disadvantages of EGR versus SCR for emission reduction, and PMS versus General Overhaul for sy</w:t>
      </w:r>
      <w:r w:rsidRPr="00634279">
        <w:rPr>
          <w:color w:val="000000" w:themeColor="text1"/>
        </w:rPr>
        <w:t>stem maintenance, to determine the most effective operational strategy.</w:t>
      </w:r>
    </w:p>
    <w:p w14:paraId="6FE60756" w14:textId="77777777" w:rsidR="00B77AEC" w:rsidRPr="00634279" w:rsidRDefault="00103376">
      <w:pPr>
        <w:spacing w:before="200" w:after="120"/>
        <w:jc w:val="center"/>
        <w:rPr>
          <w:color w:val="000000" w:themeColor="text1"/>
        </w:rPr>
      </w:pPr>
      <w:r w:rsidRPr="00634279">
        <w:rPr>
          <w:b/>
          <w:bCs/>
          <w:color w:val="000000" w:themeColor="text1"/>
        </w:rPr>
        <w:t>IV. RESULTS AND DISCUSSION</w:t>
      </w:r>
    </w:p>
    <w:p w14:paraId="6FE60757" w14:textId="77777777" w:rsidR="00B77AEC" w:rsidRPr="00634279" w:rsidRDefault="00103376">
      <w:pPr>
        <w:spacing w:before="160" w:after="80"/>
        <w:ind w:left="284"/>
        <w:rPr>
          <w:color w:val="000000" w:themeColor="text1"/>
        </w:rPr>
      </w:pPr>
      <w:r w:rsidRPr="00634279">
        <w:rPr>
          <w:b/>
          <w:bCs/>
          <w:i/>
          <w:iCs/>
          <w:color w:val="000000" w:themeColor="text1"/>
        </w:rPr>
        <w:t>A. Environmental Impact of NOx Emissions from Main Engine Combustion</w:t>
      </w:r>
    </w:p>
    <w:p w14:paraId="6FE60758" w14:textId="77777777" w:rsidR="00B77AEC" w:rsidRPr="00634279" w:rsidRDefault="00103376" w:rsidP="0093227C">
      <w:pPr>
        <w:spacing w:after="60"/>
        <w:ind w:firstLine="284"/>
        <w:jc w:val="both"/>
        <w:rPr>
          <w:color w:val="000000" w:themeColor="text1"/>
        </w:rPr>
      </w:pPr>
      <w:r w:rsidRPr="00634279">
        <w:rPr>
          <w:color w:val="000000" w:themeColor="text1"/>
        </w:rPr>
        <w:t xml:space="preserve">The analysis of combustion exhaust data and environmental impact literature confirmed that NOx emissions from the MAN B&amp;W 6S60ME-C10.5-EGRBP main engine on MV. Maersk </w:t>
      </w:r>
      <w:proofErr w:type="spellStart"/>
      <w:r w:rsidRPr="00634279">
        <w:rPr>
          <w:color w:val="000000" w:themeColor="text1"/>
        </w:rPr>
        <w:t>Noresund</w:t>
      </w:r>
      <w:proofErr w:type="spellEnd"/>
      <w:r w:rsidRPr="00634279">
        <w:rPr>
          <w:color w:val="000000" w:themeColor="text1"/>
        </w:rPr>
        <w:t xml:space="preserve"> pose significant environmental and health risks. The NOx formation occurs predominantly through the thermal mechanism, where nitrogen and oxygen in the intake air react at the peak combustion temperatures of 1,210–1,765°C within the engine cylinders. The exhaust gas composition includes approximately 95% NO and 5% NO₂, with the total NOx concentration dependent on the combustion temperature profile and oxygen availability.</w:t>
      </w:r>
    </w:p>
    <w:p w14:paraId="6FE60759" w14:textId="77777777" w:rsidR="00B77AEC" w:rsidRPr="00634279" w:rsidRDefault="00103376" w:rsidP="0093227C">
      <w:pPr>
        <w:spacing w:after="60"/>
        <w:ind w:firstLine="284"/>
        <w:jc w:val="both"/>
        <w:rPr>
          <w:color w:val="000000" w:themeColor="text1"/>
        </w:rPr>
      </w:pPr>
      <w:r w:rsidRPr="00634279">
        <w:rPr>
          <w:color w:val="000000" w:themeColor="text1"/>
        </w:rPr>
        <w:t xml:space="preserve">The environmental consequences documented in the analysis include tropospheric ozone formation through photochemical reactions between NOx and volatile organic compounds, acid rain formation through the conversion of NOx to nitric acid in the atmosphere, contribution to greenhouse gas accumulation through the NOx–hydroxyl radical–ozone cycle, direct health effects on port workers and coastal communities through </w:t>
      </w:r>
      <w:r w:rsidRPr="00634279">
        <w:rPr>
          <w:color w:val="000000" w:themeColor="text1"/>
        </w:rPr>
        <w:lastRenderedPageBreak/>
        <w:t>respiratory tract irritation and pulmonary inflammation, marine ecosystem damage through seawater acidification, and agricultural damage through leaf necrosis and root damage on vegetation exposed to elevated NO₂ concentrations. These findings reinforce the regulatory necessity of MARPOL Annex VI Tier III requirements and validate the implementation of EGR technology as a primary emission reduction strategy.</w:t>
      </w:r>
    </w:p>
    <w:p w14:paraId="6FE6075A" w14:textId="77777777" w:rsidR="00B77AEC" w:rsidRPr="00634279" w:rsidRDefault="00103376">
      <w:pPr>
        <w:spacing w:before="160" w:after="80"/>
        <w:ind w:left="284"/>
        <w:rPr>
          <w:color w:val="000000" w:themeColor="text1"/>
        </w:rPr>
      </w:pPr>
      <w:r w:rsidRPr="00634279">
        <w:rPr>
          <w:b/>
          <w:bCs/>
          <w:i/>
          <w:iCs/>
          <w:color w:val="000000" w:themeColor="text1"/>
        </w:rPr>
        <w:t>B. EGR System Operation and NOx Reduction Mechanism</w:t>
      </w:r>
    </w:p>
    <w:p w14:paraId="6FE6075B" w14:textId="77777777" w:rsidR="00B77AEC" w:rsidRPr="00634279" w:rsidRDefault="00103376" w:rsidP="0093227C">
      <w:pPr>
        <w:spacing w:after="60"/>
        <w:ind w:firstLine="284"/>
        <w:jc w:val="both"/>
        <w:rPr>
          <w:color w:val="000000" w:themeColor="text1"/>
        </w:rPr>
      </w:pPr>
      <w:r w:rsidRPr="00634279">
        <w:rPr>
          <w:color w:val="000000" w:themeColor="text1"/>
        </w:rPr>
        <w:t xml:space="preserve">The EGR system on MV. Maersk </w:t>
      </w:r>
      <w:proofErr w:type="spellStart"/>
      <w:r w:rsidRPr="00634279">
        <w:rPr>
          <w:color w:val="000000" w:themeColor="text1"/>
        </w:rPr>
        <w:t>Noresund</w:t>
      </w:r>
      <w:proofErr w:type="spellEnd"/>
      <w:r w:rsidRPr="00634279">
        <w:rPr>
          <w:color w:val="000000" w:themeColor="text1"/>
        </w:rPr>
        <w:t xml:space="preserve"> operates through a precisely sequenced process controlled by the engine management system. The startup procedure begins with opening the NaOH and fresh water tank supply valves. Upon pressing the TIER III button on the Main Operating Panel (MOP), the system initiates the following automated sequence: the Mixing Chamber Drain Valve (MCDV) opens to drain to the Receiving Tank (RT), the Fresh Water Supply Valve (FWSV) opens to fill the Buffer Tank, the Sea Water Supply Valve opens for the pre-spray ci</w:t>
      </w:r>
      <w:r w:rsidRPr="00634279">
        <w:rPr>
          <w:color w:val="000000" w:themeColor="text1"/>
        </w:rPr>
        <w:t xml:space="preserve">rcuit, the Treated Water Supply Pump (TWSP) activates, and the pre-spray system begins scrubbing the exhaust gas by circulating fresh water with added NaOH solution to neutralize sulfuric acid formed from </w:t>
      </w:r>
      <w:proofErr w:type="spellStart"/>
      <w:r w:rsidRPr="00634279">
        <w:rPr>
          <w:color w:val="000000" w:themeColor="text1"/>
        </w:rPr>
        <w:t>SOx</w:t>
      </w:r>
      <w:proofErr w:type="spellEnd"/>
      <w:r w:rsidRPr="00634279">
        <w:rPr>
          <w:color w:val="000000" w:themeColor="text1"/>
        </w:rPr>
        <w:t xml:space="preserve"> contact with water.</w:t>
      </w:r>
    </w:p>
    <w:p w14:paraId="6FE6075C" w14:textId="77777777" w:rsidR="00B77AEC" w:rsidRPr="00634279" w:rsidRDefault="00103376" w:rsidP="0093227C">
      <w:pPr>
        <w:spacing w:after="60"/>
        <w:ind w:firstLine="284"/>
        <w:jc w:val="both"/>
        <w:rPr>
          <w:color w:val="000000" w:themeColor="text1"/>
        </w:rPr>
      </w:pPr>
      <w:r w:rsidRPr="00634279">
        <w:rPr>
          <w:color w:val="000000" w:themeColor="text1"/>
        </w:rPr>
        <w:t>The Process Water Circulation Pump (PWCP) activates and the Process Water Sealing Valve (PWSV) opens, circulating water from the Receiving Tank Unit to the EGR unit. The Receiving Tank Level Valve (RTLV) opens and the pH control system activates with a target setpoint of 6.5 ppm, with the NaOH dosing pump regulating the alkaline solution supply. Once the water handling system is established, the EGR blower starts, followed by the opening of the Shut Off Valve (SOV) to admit exhaust gas from the exhaust rece</w:t>
      </w:r>
      <w:r w:rsidRPr="00634279">
        <w:rPr>
          <w:color w:val="000000" w:themeColor="text1"/>
        </w:rPr>
        <w:t>iver to the EGR unit. The Blower Throttle Valve (BTV) opens when the target differential pressure is achieved. The cleaned and cooled exhaust gas is forced by the EGR blower into the Mixing Chamber, where it blends with the normal scavenging air flow from the Scavenging Air Cooler.</w:t>
      </w:r>
    </w:p>
    <w:p w14:paraId="6FE6075D" w14:textId="77777777" w:rsidR="00B77AEC" w:rsidRPr="00634279" w:rsidRDefault="00103376" w:rsidP="0093227C">
      <w:pPr>
        <w:spacing w:after="60"/>
        <w:ind w:firstLine="284"/>
        <w:jc w:val="both"/>
        <w:rPr>
          <w:color w:val="000000" w:themeColor="text1"/>
        </w:rPr>
      </w:pPr>
      <w:r w:rsidRPr="00634279">
        <w:rPr>
          <w:color w:val="000000" w:themeColor="text1"/>
        </w:rPr>
        <w:t xml:space="preserve">The quantity of recirculated gas is controlled by the EGR blower speed (via frequency converter) and the BTV position to maintain the measured oxygen concentration in the Scavenging Air Receiver at the level corresponding to Tier III NOx emission compliance. During low-load operation, the Cylinder Bypass Valve (CBV) opens to redirect air from the scavenge air receiver to the turbine inlet, increasing exhaust gas pressure without reducing scavenging air pressure, thereby maintaining adequate EGR performance </w:t>
      </w:r>
      <w:r w:rsidRPr="00634279">
        <w:rPr>
          <w:color w:val="000000" w:themeColor="text1"/>
        </w:rPr>
        <w:t xml:space="preserve">across the full engine load range. The water condensed from the Water Mist Catcher flows to the Water Receiving Tank for recirculation, with the process water level maintained at the specified setpoint. The Alfa </w:t>
      </w:r>
      <w:r w:rsidRPr="00634279">
        <w:rPr>
          <w:color w:val="000000" w:themeColor="text1"/>
        </w:rPr>
        <w:t xml:space="preserve">Laval </w:t>
      </w:r>
      <w:proofErr w:type="spellStart"/>
      <w:r w:rsidRPr="00634279">
        <w:rPr>
          <w:color w:val="000000" w:themeColor="text1"/>
        </w:rPr>
        <w:t>PureNOx</w:t>
      </w:r>
      <w:proofErr w:type="spellEnd"/>
      <w:r w:rsidRPr="00634279">
        <w:rPr>
          <w:color w:val="000000" w:themeColor="text1"/>
        </w:rPr>
        <w:t xml:space="preserve"> system continuously processes the EGR drain water through centrifugal separation, discharging treated water overboard when oil content is verified below 15 ppm, and collecting separated sludge for disposal at port.</w:t>
      </w:r>
    </w:p>
    <w:p w14:paraId="6FE6075E" w14:textId="77777777" w:rsidR="00B77AEC" w:rsidRPr="00634279" w:rsidRDefault="00103376" w:rsidP="0093227C">
      <w:pPr>
        <w:spacing w:after="60"/>
        <w:ind w:firstLine="284"/>
        <w:jc w:val="both"/>
        <w:rPr>
          <w:color w:val="000000" w:themeColor="text1"/>
        </w:rPr>
      </w:pPr>
      <w:r w:rsidRPr="00634279">
        <w:rPr>
          <w:color w:val="000000" w:themeColor="text1"/>
        </w:rPr>
        <w:t>The EGR system's effectiveness in reducing NOx emissions is fundamentally dependent on the precise control of the oxygen concentration in the scavenging air receiver. Under normal engine operation without EGR (Tier II mode), the scavenging air contains approximately 21% oxygen, which supports vigorous combustion at temperatures exceeding 1,210°C, creating optimal conditions for thermal NOx formation. When the EGR system is activated for Tier III operation, the recirculation of approximately 30% treated exha</w:t>
      </w:r>
      <w:r w:rsidRPr="00634279">
        <w:rPr>
          <w:color w:val="000000" w:themeColor="text1"/>
        </w:rPr>
        <w:t xml:space="preserve">ust gas into the scavenging air reduces the oxygen content to approximately 17%, while simultaneously introducing CO₂ which has a higher specific heat capacity than O₂. This dual effect — reduced oxygen availability and increased thermal absorption capacity of the intake charge — lowers the peak flame temperature within the combustion chamber, directly suppressing the thermal NOx formation mechanism that accounts for the majority of NOx production in marine diesel engines. The system's oxygen concentration </w:t>
      </w:r>
      <w:r w:rsidRPr="00634279">
        <w:rPr>
          <w:color w:val="000000" w:themeColor="text1"/>
        </w:rPr>
        <w:t>is continuously monitored by sensors in the Scavenging Air Receiver, with the EGR blower speed and Blower Throttle Valve position adjusted in real time to maintain the target oxygen level corresponding to Tier III emission limits.</w:t>
      </w:r>
    </w:p>
    <w:p w14:paraId="6FE6075F" w14:textId="77777777" w:rsidR="00B77AEC" w:rsidRPr="00634279" w:rsidRDefault="00103376" w:rsidP="0093227C">
      <w:pPr>
        <w:spacing w:after="60"/>
        <w:ind w:firstLine="284"/>
        <w:jc w:val="both"/>
        <w:rPr>
          <w:color w:val="000000" w:themeColor="text1"/>
        </w:rPr>
      </w:pPr>
      <w:r w:rsidRPr="00634279">
        <w:rPr>
          <w:color w:val="000000" w:themeColor="text1"/>
        </w:rPr>
        <w:t xml:space="preserve">The water handling system represents a critical environmental protection component of the EGR installation. The NaOH solution injected during the pre-spray process neutralizes sulfuric acid that forms when </w:t>
      </w:r>
      <w:proofErr w:type="spellStart"/>
      <w:r w:rsidRPr="00634279">
        <w:rPr>
          <w:color w:val="000000" w:themeColor="text1"/>
        </w:rPr>
        <w:t>SOx</w:t>
      </w:r>
      <w:proofErr w:type="spellEnd"/>
      <w:r w:rsidRPr="00634279">
        <w:rPr>
          <w:color w:val="000000" w:themeColor="text1"/>
        </w:rPr>
        <w:t xml:space="preserve"> in the exhaust gas contacts water, producing sodium sulfate as a harmless byproduct. The process water, after circulating through the EGR system, accumulates contaminants including soot particles, sulfate compounds, and trace oil residues. The Alfa Laval </w:t>
      </w:r>
      <w:proofErr w:type="spellStart"/>
      <w:r w:rsidRPr="00634279">
        <w:rPr>
          <w:color w:val="000000" w:themeColor="text1"/>
        </w:rPr>
        <w:t>PureNOx</w:t>
      </w:r>
      <w:proofErr w:type="spellEnd"/>
      <w:r w:rsidRPr="00634279">
        <w:rPr>
          <w:color w:val="000000" w:themeColor="text1"/>
        </w:rPr>
        <w:t xml:space="preserve"> centrifugal separator processes this contaminated water, removing oil content to below the </w:t>
      </w:r>
      <w:proofErr w:type="gramStart"/>
      <w:r w:rsidRPr="00634279">
        <w:rPr>
          <w:color w:val="000000" w:themeColor="text1"/>
        </w:rPr>
        <w:t>15 ppm</w:t>
      </w:r>
      <w:proofErr w:type="gramEnd"/>
      <w:r w:rsidRPr="00634279">
        <w:rPr>
          <w:color w:val="000000" w:themeColor="text1"/>
        </w:rPr>
        <w:t xml:space="preserve"> threshold required by MEPC 259(68) for overboard discharge. Separated sludge is collected in the sludge tank for shore reception facility disposal </w:t>
      </w:r>
      <w:r w:rsidRPr="00634279">
        <w:rPr>
          <w:color w:val="000000" w:themeColor="text1"/>
        </w:rPr>
        <w:t>at port. This closed-loop water treatment system ensures that the EGR installation not only reduces atmospheric NOx emissions but also prevents secondary water pollution from the exhaust gas cleaning process.</w:t>
      </w:r>
    </w:p>
    <w:p w14:paraId="6FE60760" w14:textId="77777777" w:rsidR="00B77AEC" w:rsidRPr="00634279" w:rsidRDefault="00103376">
      <w:pPr>
        <w:spacing w:before="160" w:after="80"/>
        <w:ind w:left="284"/>
        <w:rPr>
          <w:color w:val="000000" w:themeColor="text1"/>
        </w:rPr>
      </w:pPr>
      <w:r w:rsidRPr="00634279">
        <w:rPr>
          <w:b/>
          <w:bCs/>
          <w:i/>
          <w:iCs/>
          <w:color w:val="000000" w:themeColor="text1"/>
        </w:rPr>
        <w:t>C. Comparative Evaluation: EGR vs. SCR</w:t>
      </w:r>
    </w:p>
    <w:p w14:paraId="6FE60761" w14:textId="77777777" w:rsidR="00B77AEC" w:rsidRPr="00634279" w:rsidRDefault="00103376" w:rsidP="0093227C">
      <w:pPr>
        <w:spacing w:after="60"/>
        <w:ind w:firstLine="284"/>
        <w:jc w:val="both"/>
        <w:rPr>
          <w:color w:val="000000" w:themeColor="text1"/>
        </w:rPr>
      </w:pPr>
      <w:r w:rsidRPr="00634279">
        <w:rPr>
          <w:color w:val="000000" w:themeColor="text1"/>
        </w:rPr>
        <w:t xml:space="preserve">The comparative analysis of EGR and SCR technologies revealed several factors favoring the selection of EGR for MV. Maersk </w:t>
      </w:r>
      <w:proofErr w:type="spellStart"/>
      <w:r w:rsidRPr="00634279">
        <w:rPr>
          <w:color w:val="000000" w:themeColor="text1"/>
        </w:rPr>
        <w:t>Noresund</w:t>
      </w:r>
      <w:proofErr w:type="spellEnd"/>
      <w:r w:rsidRPr="00634279">
        <w:rPr>
          <w:color w:val="000000" w:themeColor="text1"/>
        </w:rPr>
        <w:t xml:space="preserve">. In terms of implementation cost, EGR is generally more economical as it is integrated into the engine design, requiring only the addition of valves, scrubber, cooler, blower, and water </w:t>
      </w:r>
      <w:r w:rsidRPr="00634279">
        <w:rPr>
          <w:color w:val="000000" w:themeColor="text1"/>
        </w:rPr>
        <w:lastRenderedPageBreak/>
        <w:t>treatment components, whereas SCR requires a separate catalyst reactor, reductant (urea/AdBlue) storage tank, injection system, and extensive piping. Operating costs are lower for EGR, which uses NaOH solution and wash water, compared to the continuous urea consumption required by SCR. EGR offers better compatibilit</w:t>
      </w:r>
      <w:r w:rsidRPr="00634279">
        <w:rPr>
          <w:color w:val="000000" w:themeColor="text1"/>
        </w:rPr>
        <w:t xml:space="preserve">y with existing and older engine designs, making it more suitable for both new-build and retrofit applications. While SCR achieves slightly higher NOx reduction rates (up to 90%+), EGR is effective across a broader engine load range when equipped with the CBV system, whereas SCR requires exhaust gas temperatures of 300–400°C for effective catalytic operation, presenting challenges during low-load and maneuvering conditions. Additionally, EGR provides indirect CO₂ reduction through improved fuel efficiency, </w:t>
      </w:r>
      <w:r w:rsidRPr="00634279">
        <w:rPr>
          <w:color w:val="000000" w:themeColor="text1"/>
        </w:rPr>
        <w:t>while SCR has no effect on CO₂ emissions.</w:t>
      </w:r>
    </w:p>
    <w:p w14:paraId="6FE60762" w14:textId="77777777" w:rsidR="00B77AEC" w:rsidRPr="00634279" w:rsidRDefault="00103376" w:rsidP="0093227C">
      <w:pPr>
        <w:spacing w:after="60"/>
        <w:ind w:firstLine="284"/>
        <w:jc w:val="both"/>
        <w:rPr>
          <w:color w:val="000000" w:themeColor="text1"/>
        </w:rPr>
      </w:pPr>
      <w:r w:rsidRPr="00634279">
        <w:rPr>
          <w:color w:val="000000" w:themeColor="text1"/>
        </w:rPr>
        <w:t xml:space="preserve">Based on the operational experience on MV. Maersk </w:t>
      </w:r>
      <w:proofErr w:type="spellStart"/>
      <w:r w:rsidRPr="00634279">
        <w:rPr>
          <w:color w:val="000000" w:themeColor="text1"/>
        </w:rPr>
        <w:t>Noresund</w:t>
      </w:r>
      <w:proofErr w:type="spellEnd"/>
      <w:r w:rsidRPr="00634279">
        <w:rPr>
          <w:color w:val="000000" w:themeColor="text1"/>
        </w:rPr>
        <w:t>, the EGR system demonstrated reliable Tier III compliance during passages through designated Emission Control Areas including the North Sea ECA, the Baltic Sea ECA, and the North American ECA. The transition between Tier II and Tier III operating modes was performed seamlessly through the MOP interface, with the system completing the full startup sequence and achieving stable Tier III operation within the timeframe prescribed by the Technical File for NOx emission verification. The vessel's ocean-g</w:t>
      </w:r>
      <w:r w:rsidRPr="00634279">
        <w:rPr>
          <w:color w:val="000000" w:themeColor="text1"/>
        </w:rPr>
        <w:t>oing route profile, involving frequent transits through ECAs interspersed with open-ocean passages, validated the operational flexibility of the EGR system's dual-mode capability (Tier II/III switching) as a practical advantage over SCR systems, which may require extended warm-up periods for the catalyst to reach effective operating temperature after periods of deactivation.</w:t>
      </w:r>
    </w:p>
    <w:p w14:paraId="6FE60763" w14:textId="77777777" w:rsidR="00B77AEC" w:rsidRPr="00634279" w:rsidRDefault="00103376">
      <w:pPr>
        <w:spacing w:before="160" w:after="80"/>
        <w:ind w:left="284"/>
        <w:rPr>
          <w:color w:val="000000" w:themeColor="text1"/>
        </w:rPr>
      </w:pPr>
      <w:r w:rsidRPr="00634279">
        <w:rPr>
          <w:b/>
          <w:bCs/>
          <w:i/>
          <w:iCs/>
          <w:color w:val="000000" w:themeColor="text1"/>
        </w:rPr>
        <w:t>D. Maintenance Strategy: PMS vs. General Overhaul</w:t>
      </w:r>
    </w:p>
    <w:p w14:paraId="6FE60764" w14:textId="77777777" w:rsidR="00B77AEC" w:rsidRPr="00634279" w:rsidRDefault="00103376" w:rsidP="0093227C">
      <w:pPr>
        <w:spacing w:after="60"/>
        <w:ind w:firstLine="284"/>
        <w:jc w:val="both"/>
        <w:rPr>
          <w:color w:val="000000" w:themeColor="text1"/>
        </w:rPr>
      </w:pPr>
      <w:r w:rsidRPr="00634279">
        <w:rPr>
          <w:color w:val="000000" w:themeColor="text1"/>
        </w:rPr>
        <w:t>The evaluation of maintenance strategies for sustaining optimal EGR performance compared the Planned Maintenance System (PMS) approach with periodic General Overhaul. PMS involves regular scheduled inspections, cleaning, and component replacement at intervals specified in the instruction manual, preventing problems before they develop into serious failures. General overhaul involves complete system disassembly, comprehensive inspection, deep cleaning of all carbon deposits, replacement of all worn or damage</w:t>
      </w:r>
      <w:r w:rsidRPr="00634279">
        <w:rPr>
          <w:color w:val="000000" w:themeColor="text1"/>
        </w:rPr>
        <w:t>d components, recalibration, and functional testing.</w:t>
      </w:r>
    </w:p>
    <w:p w14:paraId="6FE60765" w14:textId="77777777" w:rsidR="00B77AEC" w:rsidRPr="00634279" w:rsidRDefault="00103376" w:rsidP="0093227C">
      <w:pPr>
        <w:spacing w:after="60"/>
        <w:ind w:firstLine="284"/>
        <w:jc w:val="both"/>
        <w:rPr>
          <w:color w:val="000000" w:themeColor="text1"/>
        </w:rPr>
      </w:pPr>
      <w:r w:rsidRPr="00634279">
        <w:rPr>
          <w:color w:val="000000" w:themeColor="text1"/>
        </w:rPr>
        <w:t xml:space="preserve">The analysis identified several advantages of PMS over General Overhaul for EGR maintenance. First, PMS enables early identification and correction of minor issues before they escalate into major failures requiring extensive repair. Second, PMS is significantly more cost-effective, as routine inspections and targeted component </w:t>
      </w:r>
      <w:r w:rsidRPr="00634279">
        <w:rPr>
          <w:color w:val="000000" w:themeColor="text1"/>
        </w:rPr>
        <w:t>replacements are less expensive than complete system overhaul. Third, PMS requires shorter maintenance windows, minimizing vessel downtime and operational disruption. Fourth, regular preventive maintenance extends the service life of EGR components by maintaining them in optimal condition. Fifth, PMS ensures continuous optimal performance of the EGR system, maintaining fuel efficiency and emission compliance. However, General Overhaul remains necessary at extended intervals to address cumulative wear and pr</w:t>
      </w:r>
      <w:r w:rsidRPr="00634279">
        <w:rPr>
          <w:color w:val="000000" w:themeColor="text1"/>
        </w:rPr>
        <w:t>ovide comprehensive system restoration. The recommended strategy combines regular PMS as the primary maintenance approach with scheduled General Overhaul at the intervals specified in the manufacturer's maintenance manual.</w:t>
      </w:r>
    </w:p>
    <w:p w14:paraId="6FE60766" w14:textId="77777777" w:rsidR="00B77AEC" w:rsidRPr="00634279" w:rsidRDefault="00103376">
      <w:pPr>
        <w:spacing w:before="160" w:after="80"/>
        <w:ind w:left="284"/>
        <w:rPr>
          <w:color w:val="000000" w:themeColor="text1"/>
        </w:rPr>
      </w:pPr>
      <w:r w:rsidRPr="00634279">
        <w:rPr>
          <w:b/>
          <w:bCs/>
          <w:i/>
          <w:iCs/>
          <w:color w:val="000000" w:themeColor="text1"/>
        </w:rPr>
        <w:t>E. Operational Considerations and Crew Competency Requirements</w:t>
      </w:r>
    </w:p>
    <w:p w14:paraId="6FE60767" w14:textId="77777777" w:rsidR="00B77AEC" w:rsidRPr="00634279" w:rsidRDefault="00103376" w:rsidP="0093227C">
      <w:pPr>
        <w:spacing w:after="60"/>
        <w:ind w:firstLine="284"/>
        <w:jc w:val="both"/>
        <w:rPr>
          <w:color w:val="000000" w:themeColor="text1"/>
        </w:rPr>
      </w:pPr>
      <w:r w:rsidRPr="00634279">
        <w:rPr>
          <w:color w:val="000000" w:themeColor="text1"/>
        </w:rPr>
        <w:t xml:space="preserve">The successful operation of the EGR system on MV. Maersk </w:t>
      </w:r>
      <w:proofErr w:type="spellStart"/>
      <w:r w:rsidRPr="00634279">
        <w:rPr>
          <w:color w:val="000000" w:themeColor="text1"/>
        </w:rPr>
        <w:t>Noresund</w:t>
      </w:r>
      <w:proofErr w:type="spellEnd"/>
      <w:r w:rsidRPr="00634279">
        <w:rPr>
          <w:color w:val="000000" w:themeColor="text1"/>
        </w:rPr>
        <w:t xml:space="preserve"> highlighted several critical operational considerations that must be addressed through proper crew training and competency development. The First Engineer, as the officer directly responsible for the main engine and its emission control systems, must possess comprehensive knowledge of the EGR system's working principles, startup and shutdown procedures, parameter monitoring requirements, and fault diagnosis protocols. During the research period, the author observed that the EGR system's performance</w:t>
      </w:r>
      <w:r w:rsidRPr="00634279">
        <w:rPr>
          <w:color w:val="000000" w:themeColor="text1"/>
        </w:rPr>
        <w:t xml:space="preserve"> is highly sensitive to the quality and quantity of NaOH solution supply, the proper functioning of the pH control system (target 6.5 ppm), the condition of the pre-spray nozzles, and the cleanliness of the EGR cooler passages.</w:t>
      </w:r>
    </w:p>
    <w:p w14:paraId="6FE60768" w14:textId="77777777" w:rsidR="00B77AEC" w:rsidRPr="00634279" w:rsidRDefault="00103376" w:rsidP="0093227C">
      <w:pPr>
        <w:spacing w:after="60"/>
        <w:ind w:firstLine="284"/>
        <w:jc w:val="both"/>
        <w:rPr>
          <w:color w:val="000000" w:themeColor="text1"/>
        </w:rPr>
      </w:pPr>
      <w:r w:rsidRPr="00634279">
        <w:rPr>
          <w:color w:val="000000" w:themeColor="text1"/>
        </w:rPr>
        <w:t>Common operational challenges encountered during the research period included the need for careful management of the water treatment system to prevent excessive accumulation of soot and sulfate compounds in the receiving tank, monitoring of the EGR blower frequency converter performance to ensure accurate oxygen concentration control, and attention to the Buffer Tank level switches and Receiving Tank Level Valve operation to maintain proper water circulation. When the vessel operates in non-ECA waters under</w:t>
      </w:r>
      <w:r w:rsidRPr="00634279">
        <w:rPr>
          <w:color w:val="000000" w:themeColor="text1"/>
        </w:rPr>
        <w:t xml:space="preserve"> Tier II mode, the EGR system is deactivated, but the SOV must be confirmed closed to prevent uncontrolled gas flow, and the Mixing Chamber Drain Valve redirects flow to the Bilge Tank rather than the Receiving Tank. These mode transition procedures require systematic checklist-based execution to prevent operational errors that could result in either emission non-compliance within ECAs or unnecessary fuel consumption outside ECAs.</w:t>
      </w:r>
    </w:p>
    <w:p w14:paraId="6FE60769" w14:textId="77777777" w:rsidR="00B77AEC" w:rsidRPr="00634279" w:rsidRDefault="00103376" w:rsidP="0093227C">
      <w:pPr>
        <w:spacing w:after="60"/>
        <w:ind w:firstLine="284"/>
        <w:jc w:val="both"/>
        <w:rPr>
          <w:color w:val="000000" w:themeColor="text1"/>
        </w:rPr>
      </w:pPr>
      <w:r w:rsidRPr="00634279">
        <w:rPr>
          <w:color w:val="000000" w:themeColor="text1"/>
        </w:rPr>
        <w:t xml:space="preserve">Furthermore, the integration of EGR maintenance activities into the vessel's overall Planned Maintenance System framework requires coordination between the First </w:t>
      </w:r>
      <w:r w:rsidRPr="00634279">
        <w:rPr>
          <w:color w:val="000000" w:themeColor="text1"/>
        </w:rPr>
        <w:lastRenderedPageBreak/>
        <w:t>Engineer, Chief Engineer, and the vessel operator's technical department. The PMS schedule for EGR components must be synchronized with the main engine's maintenance intervals to maximize efficiency and minimize cumulative downtime. Key PMS activities identified during the research include regular inspection and cleaning of pre-spray nozzles and EGR cooler passages (to prevent fouling that reduces cooling efficiency), periodic calibration of oxygen sensors in the Scavenging Air Receiver, inspection of SOV a</w:t>
      </w:r>
      <w:r w:rsidRPr="00634279">
        <w:rPr>
          <w:color w:val="000000" w:themeColor="text1"/>
        </w:rPr>
        <w:t>nd BTV valve actuators and sealing surfaces, verification of NaOH dosing pump accuracy and flow rates, and scheduled replacement of consumable filter elements in the water treatment system. Comprehensive documentation of all EGR maintenance activities in the engine log book and PMS records is essential for demonstrating regulatory compliance during flag state and port state control inspections.</w:t>
      </w:r>
    </w:p>
    <w:p w14:paraId="6FE6076A" w14:textId="77777777" w:rsidR="00B77AEC" w:rsidRPr="00634279" w:rsidRDefault="00103376">
      <w:pPr>
        <w:spacing w:before="200" w:after="120"/>
        <w:jc w:val="center"/>
        <w:rPr>
          <w:color w:val="000000" w:themeColor="text1"/>
        </w:rPr>
      </w:pPr>
      <w:r w:rsidRPr="00634279">
        <w:rPr>
          <w:b/>
          <w:bCs/>
          <w:color w:val="000000" w:themeColor="text1"/>
        </w:rPr>
        <w:t>V. CONCLUSION</w:t>
      </w:r>
    </w:p>
    <w:p w14:paraId="6FE6076B" w14:textId="172120EF" w:rsidR="00B77AEC" w:rsidRPr="00634279" w:rsidRDefault="0093227C">
      <w:pPr>
        <w:spacing w:after="60"/>
        <w:jc w:val="both"/>
        <w:rPr>
          <w:color w:val="000000" w:themeColor="text1"/>
        </w:rPr>
      </w:pPr>
      <w:r>
        <w:rPr>
          <w:color w:val="000000" w:themeColor="text1"/>
        </w:rPr>
        <w:tab/>
      </w:r>
      <w:r w:rsidR="00103376" w:rsidRPr="00634279">
        <w:rPr>
          <w:color w:val="000000" w:themeColor="text1"/>
        </w:rPr>
        <w:t xml:space="preserve">Based on the research conducted on board MV. Maersk </w:t>
      </w:r>
      <w:proofErr w:type="spellStart"/>
      <w:r w:rsidR="00103376" w:rsidRPr="00634279">
        <w:rPr>
          <w:color w:val="000000" w:themeColor="text1"/>
        </w:rPr>
        <w:t>Noresund</w:t>
      </w:r>
      <w:proofErr w:type="spellEnd"/>
      <w:r w:rsidR="00103376" w:rsidRPr="00634279">
        <w:rPr>
          <w:color w:val="000000" w:themeColor="text1"/>
        </w:rPr>
        <w:t xml:space="preserve"> regarding the application of Exhaust Gas Recirculation technology on the MAN B&amp;W 6S60ME-C10.5-EGRBP main diesel engine, the following conclusions are drawn.</w:t>
      </w:r>
    </w:p>
    <w:p w14:paraId="6FE6076C" w14:textId="77777777" w:rsidR="00B77AEC" w:rsidRPr="00634279" w:rsidRDefault="00103376" w:rsidP="0093227C">
      <w:pPr>
        <w:spacing w:after="60"/>
        <w:ind w:firstLine="720"/>
        <w:jc w:val="both"/>
        <w:rPr>
          <w:color w:val="000000" w:themeColor="text1"/>
        </w:rPr>
      </w:pPr>
      <w:r w:rsidRPr="00634279">
        <w:rPr>
          <w:color w:val="000000" w:themeColor="text1"/>
        </w:rPr>
        <w:t xml:space="preserve">The environmental problems caused by NOx emissions from the main engine combustion process are extensive and multifaceted. NOx formed through the thermal, prompt, and fuel mechanisms during high-temperature combustion contributes to tropospheric ozone formation, acid rain, greenhouse gas accumulation, respiratory health disorders in humans and animals, marine ecosystem acidification, and agricultural crop damage. </w:t>
      </w:r>
      <w:r w:rsidRPr="00634279">
        <w:rPr>
          <w:color w:val="000000" w:themeColor="text1"/>
        </w:rPr>
        <w:t xml:space="preserve">The implementation of EGR technology on MV. Maersk </w:t>
      </w:r>
      <w:proofErr w:type="spellStart"/>
      <w:r w:rsidRPr="00634279">
        <w:rPr>
          <w:color w:val="000000" w:themeColor="text1"/>
        </w:rPr>
        <w:t>Noresund</w:t>
      </w:r>
      <w:proofErr w:type="spellEnd"/>
      <w:r w:rsidRPr="00634279">
        <w:rPr>
          <w:color w:val="000000" w:themeColor="text1"/>
        </w:rPr>
        <w:t xml:space="preserve"> effectively addresses these environmental concerns by reducing NOx emissions to Tier III compliance levels. The EGR system achieves this reduction by recirculating approximately 30% of treated exhaust gas into the scavenging air receiver, where the substitution of O₂ with CO₂ (which has higher heat capacity) reduces the peak combustion temperature and consequently minimizes thermal NOx formation. The exhaust gas undergoes comprehensive treatment th</w:t>
      </w:r>
      <w:r w:rsidRPr="00634279">
        <w:rPr>
          <w:color w:val="000000" w:themeColor="text1"/>
        </w:rPr>
        <w:t xml:space="preserve">rough NaOH pre-spray scrubbing, cooling, and water mist separation before recirculation, with the Alfa Laval </w:t>
      </w:r>
      <w:proofErr w:type="spellStart"/>
      <w:r w:rsidRPr="00634279">
        <w:rPr>
          <w:color w:val="000000" w:themeColor="text1"/>
        </w:rPr>
        <w:t>PureNOx</w:t>
      </w:r>
      <w:proofErr w:type="spellEnd"/>
      <w:r w:rsidRPr="00634279">
        <w:rPr>
          <w:color w:val="000000" w:themeColor="text1"/>
        </w:rPr>
        <w:t xml:space="preserve"> system processing the wash water for compliant discharge.</w:t>
      </w:r>
    </w:p>
    <w:p w14:paraId="6FE6076E" w14:textId="6B373191" w:rsidR="00B77AEC" w:rsidRPr="00634279" w:rsidRDefault="00103376" w:rsidP="0093227C">
      <w:pPr>
        <w:spacing w:after="60"/>
        <w:ind w:firstLine="720"/>
        <w:jc w:val="both"/>
        <w:rPr>
          <w:color w:val="000000" w:themeColor="text1"/>
        </w:rPr>
        <w:sectPr w:rsidR="00B77AEC" w:rsidRPr="00634279">
          <w:type w:val="continuous"/>
          <w:pgSz w:w="11906" w:h="16838"/>
          <w:pgMar w:top="1134" w:right="1134" w:bottom="1134" w:left="1134" w:header="708" w:footer="708" w:gutter="0"/>
          <w:cols w:num="2" w:space="340"/>
          <w:docGrid w:linePitch="360"/>
        </w:sectPr>
      </w:pPr>
      <w:r w:rsidRPr="00634279">
        <w:rPr>
          <w:color w:val="000000" w:themeColor="text1"/>
        </w:rPr>
        <w:t>The comparative evaluation demonstrates that EGR is the preferred technology over SCR for the vessel's operational profile, offering advantages in implementation cost, operating cost, fuel efficiency improvement, load-range flexibility, and retrofit compatibility. For maintenance, the Planned Maintenance System is the recommended primary strategy, providing cost-effective preventive maintenance that sustains optimal EGR performance, extends component service life, and minimizes operational disruption, suppl</w:t>
      </w:r>
      <w:r w:rsidRPr="00634279">
        <w:rPr>
          <w:color w:val="000000" w:themeColor="text1"/>
        </w:rPr>
        <w:t>emented by periodic General Overhaul at manufacturer-specified intervals. It is recommended that the First Engineer, as the officer responsible for the main engine, maintain thorough understanding of the EGR system's operating procedures, maintenance requirements, and troubleshooting protocols, and that all PMS schedules for EGR components be strictly adhered to in order to ensure continuous and effective NOx emission reduction throughout the vessel's operational life</w:t>
      </w:r>
    </w:p>
    <w:p w14:paraId="6FE6076F" w14:textId="2B398A90" w:rsidR="00B77AEC" w:rsidRPr="0093227C" w:rsidRDefault="00103376" w:rsidP="0093227C">
      <w:pPr>
        <w:spacing w:before="240" w:after="120"/>
        <w:rPr>
          <w:color w:val="000000" w:themeColor="text1"/>
        </w:rPr>
      </w:pPr>
      <w:r w:rsidRPr="0093227C">
        <w:rPr>
          <w:b/>
          <w:bCs/>
          <w:color w:val="000000" w:themeColor="text1"/>
        </w:rPr>
        <w:t>REFERENCES</w:t>
      </w:r>
    </w:p>
    <w:p w14:paraId="3F75737F" w14:textId="77777777" w:rsidR="0093227C" w:rsidRDefault="0093227C">
      <w:pPr>
        <w:spacing w:after="40" w:line="240" w:lineRule="auto"/>
        <w:ind w:left="567" w:hanging="567"/>
        <w:jc w:val="both"/>
        <w:rPr>
          <w:color w:val="000000" w:themeColor="text1"/>
        </w:rPr>
        <w:sectPr w:rsidR="0093227C">
          <w:type w:val="continuous"/>
          <w:pgSz w:w="11906" w:h="16838"/>
          <w:pgMar w:top="1134" w:right="1134" w:bottom="1134" w:left="1134" w:header="708" w:footer="708" w:gutter="0"/>
          <w:cols w:space="720"/>
          <w:docGrid w:linePitch="360"/>
        </w:sectPr>
      </w:pPr>
    </w:p>
    <w:p w14:paraId="6FE60770" w14:textId="662FABD8" w:rsidR="00B77AEC" w:rsidRPr="0093227C" w:rsidRDefault="00103376">
      <w:pPr>
        <w:spacing w:after="40" w:line="240" w:lineRule="auto"/>
        <w:ind w:left="567" w:hanging="567"/>
        <w:jc w:val="both"/>
        <w:rPr>
          <w:color w:val="000000" w:themeColor="text1"/>
        </w:rPr>
      </w:pPr>
      <w:r w:rsidRPr="0093227C">
        <w:rPr>
          <w:color w:val="000000" w:themeColor="text1"/>
        </w:rPr>
        <w:t xml:space="preserve">[1] </w:t>
      </w:r>
      <w:r w:rsidR="00F2076F">
        <w:rPr>
          <w:color w:val="000000" w:themeColor="text1"/>
        </w:rPr>
        <w:tab/>
      </w:r>
      <w:r w:rsidRPr="0093227C">
        <w:rPr>
          <w:color w:val="000000" w:themeColor="text1"/>
        </w:rPr>
        <w:t>O. E</w:t>
      </w:r>
      <w:proofErr w:type="spellStart"/>
      <w:r w:rsidRPr="0093227C">
        <w:rPr>
          <w:color w:val="000000" w:themeColor="text1"/>
        </w:rPr>
        <w:t>ndresen</w:t>
      </w:r>
      <w:proofErr w:type="spellEnd"/>
      <w:r w:rsidRPr="0093227C">
        <w:rPr>
          <w:color w:val="000000" w:themeColor="text1"/>
        </w:rPr>
        <w:t>, "Emission from International Sea Transportation and Environmental Impact," Journal of Geophysical Research, vol. 108, no. D17, 2003.</w:t>
      </w:r>
    </w:p>
    <w:p w14:paraId="6FE60771" w14:textId="4DE06252" w:rsidR="00B77AEC" w:rsidRPr="0093227C" w:rsidRDefault="00103376">
      <w:pPr>
        <w:spacing w:after="40" w:line="240" w:lineRule="auto"/>
        <w:ind w:left="567" w:hanging="567"/>
        <w:jc w:val="both"/>
        <w:rPr>
          <w:color w:val="000000" w:themeColor="text1"/>
        </w:rPr>
      </w:pPr>
      <w:r w:rsidRPr="0093227C">
        <w:rPr>
          <w:color w:val="000000" w:themeColor="text1"/>
        </w:rPr>
        <w:t xml:space="preserve">[2] </w:t>
      </w:r>
      <w:r w:rsidR="00F2076F">
        <w:rPr>
          <w:color w:val="000000" w:themeColor="text1"/>
        </w:rPr>
        <w:tab/>
      </w:r>
      <w:r w:rsidRPr="0093227C">
        <w:rPr>
          <w:color w:val="000000" w:themeColor="text1"/>
        </w:rPr>
        <w:t>X. Wang, Y. Shen, et al., "Atmospheric Pollution from Ships and Its Impact on Local Air Quality at a Port Site in Shanghai," Atmospheric Chemistry and Physics, vol. 19, pp. 6315–6330, 2019.</w:t>
      </w:r>
    </w:p>
    <w:p w14:paraId="6FE60772" w14:textId="3428D05C" w:rsidR="00B77AEC" w:rsidRPr="0093227C" w:rsidRDefault="00103376">
      <w:pPr>
        <w:spacing w:after="40" w:line="240" w:lineRule="auto"/>
        <w:ind w:left="567" w:hanging="567"/>
        <w:jc w:val="both"/>
        <w:rPr>
          <w:color w:val="000000" w:themeColor="text1"/>
        </w:rPr>
      </w:pPr>
      <w:r w:rsidRPr="0093227C">
        <w:rPr>
          <w:color w:val="000000" w:themeColor="text1"/>
        </w:rPr>
        <w:t xml:space="preserve">[3] </w:t>
      </w:r>
      <w:r w:rsidR="00F2076F">
        <w:rPr>
          <w:color w:val="000000" w:themeColor="text1"/>
        </w:rPr>
        <w:tab/>
      </w:r>
      <w:r w:rsidRPr="0093227C">
        <w:rPr>
          <w:color w:val="000000" w:themeColor="text1"/>
        </w:rPr>
        <w:t>International Maritime Organization, MARPOL Annex VI: Regulations for the Prevention of Air Pollution from Ships, Revised ed. London: IMO Publishing, 2021.</w:t>
      </w:r>
    </w:p>
    <w:p w14:paraId="6FE60773" w14:textId="1CCE3AD5" w:rsidR="00B77AEC" w:rsidRPr="0093227C" w:rsidRDefault="00103376">
      <w:pPr>
        <w:spacing w:after="40" w:line="240" w:lineRule="auto"/>
        <w:ind w:left="567" w:hanging="567"/>
        <w:jc w:val="both"/>
        <w:rPr>
          <w:color w:val="000000" w:themeColor="text1"/>
        </w:rPr>
      </w:pPr>
      <w:r w:rsidRPr="0093227C">
        <w:rPr>
          <w:color w:val="000000" w:themeColor="text1"/>
        </w:rPr>
        <w:t xml:space="preserve">[4] </w:t>
      </w:r>
      <w:r w:rsidR="00F2076F">
        <w:rPr>
          <w:color w:val="000000" w:themeColor="text1"/>
        </w:rPr>
        <w:tab/>
      </w:r>
      <w:r w:rsidRPr="0093227C">
        <w:rPr>
          <w:color w:val="000000" w:themeColor="text1"/>
        </w:rPr>
        <w:t xml:space="preserve">H. Jaaskelainen, "Exhaust Gas Recirculation," </w:t>
      </w:r>
      <w:proofErr w:type="spellStart"/>
      <w:r w:rsidRPr="0093227C">
        <w:rPr>
          <w:color w:val="000000" w:themeColor="text1"/>
        </w:rPr>
        <w:t>DieselNet</w:t>
      </w:r>
      <w:proofErr w:type="spellEnd"/>
      <w:r w:rsidRPr="0093227C">
        <w:rPr>
          <w:color w:val="000000" w:themeColor="text1"/>
        </w:rPr>
        <w:t xml:space="preserve"> Technology Guide, 2022.</w:t>
      </w:r>
    </w:p>
    <w:p w14:paraId="6FE60774" w14:textId="2EB3B5F3" w:rsidR="00B77AEC" w:rsidRPr="0093227C" w:rsidRDefault="00103376">
      <w:pPr>
        <w:spacing w:after="40" w:line="240" w:lineRule="auto"/>
        <w:ind w:left="567" w:hanging="567"/>
        <w:jc w:val="both"/>
        <w:rPr>
          <w:color w:val="000000" w:themeColor="text1"/>
        </w:rPr>
      </w:pPr>
      <w:r w:rsidRPr="0093227C">
        <w:rPr>
          <w:color w:val="000000" w:themeColor="text1"/>
        </w:rPr>
        <w:t xml:space="preserve">[5] </w:t>
      </w:r>
      <w:r w:rsidR="00F2076F">
        <w:rPr>
          <w:color w:val="000000" w:themeColor="text1"/>
        </w:rPr>
        <w:tab/>
      </w:r>
      <w:r w:rsidRPr="0093227C">
        <w:rPr>
          <w:color w:val="000000" w:themeColor="text1"/>
        </w:rPr>
        <w:t>M. Okubo, New Technologies for Emission Control in Marine Diesel Engines. Amsterdam: Elsevier Science, 2019.</w:t>
      </w:r>
    </w:p>
    <w:p w14:paraId="6FE60775" w14:textId="3F580A70" w:rsidR="00B77AEC" w:rsidRPr="0093227C" w:rsidRDefault="00103376">
      <w:pPr>
        <w:spacing w:after="40" w:line="240" w:lineRule="auto"/>
        <w:ind w:left="567" w:hanging="567"/>
        <w:jc w:val="both"/>
        <w:rPr>
          <w:color w:val="000000" w:themeColor="text1"/>
        </w:rPr>
      </w:pPr>
      <w:r w:rsidRPr="0093227C">
        <w:rPr>
          <w:color w:val="000000" w:themeColor="text1"/>
        </w:rPr>
        <w:t xml:space="preserve">[6] </w:t>
      </w:r>
      <w:r w:rsidR="00F2076F">
        <w:rPr>
          <w:color w:val="000000" w:themeColor="text1"/>
        </w:rPr>
        <w:tab/>
      </w:r>
      <w:r w:rsidRPr="0093227C">
        <w:rPr>
          <w:color w:val="000000" w:themeColor="text1"/>
        </w:rPr>
        <w:t>S. K</w:t>
      </w:r>
      <w:proofErr w:type="spellStart"/>
      <w:r w:rsidRPr="0093227C">
        <w:rPr>
          <w:color w:val="000000" w:themeColor="text1"/>
        </w:rPr>
        <w:t>aleemuddin</w:t>
      </w:r>
      <w:proofErr w:type="spellEnd"/>
      <w:r w:rsidRPr="0093227C">
        <w:rPr>
          <w:color w:val="000000" w:themeColor="text1"/>
        </w:rPr>
        <w:t>, "Innovations in Fuel Economy and Sustainable Road Transport," in Proc. SAE 2011, Pune: Elsevier, 2011, pp. 207–215.</w:t>
      </w:r>
    </w:p>
    <w:p w14:paraId="6FE60776" w14:textId="2F953864" w:rsidR="00B77AEC" w:rsidRPr="0093227C" w:rsidRDefault="00103376">
      <w:pPr>
        <w:spacing w:after="40" w:line="240" w:lineRule="auto"/>
        <w:ind w:left="567" w:hanging="567"/>
        <w:jc w:val="both"/>
        <w:rPr>
          <w:color w:val="000000" w:themeColor="text1"/>
        </w:rPr>
      </w:pPr>
      <w:r w:rsidRPr="0093227C">
        <w:rPr>
          <w:color w:val="000000" w:themeColor="text1"/>
        </w:rPr>
        <w:t xml:space="preserve">[7] </w:t>
      </w:r>
      <w:r w:rsidR="00F2076F">
        <w:rPr>
          <w:color w:val="000000" w:themeColor="text1"/>
        </w:rPr>
        <w:tab/>
      </w:r>
      <w:r w:rsidRPr="0093227C">
        <w:rPr>
          <w:color w:val="000000" w:themeColor="text1"/>
        </w:rPr>
        <w:t>A. S</w:t>
      </w:r>
      <w:proofErr w:type="spellStart"/>
      <w:r w:rsidRPr="0093227C">
        <w:rPr>
          <w:color w:val="000000" w:themeColor="text1"/>
        </w:rPr>
        <w:t>eptianto</w:t>
      </w:r>
      <w:proofErr w:type="spellEnd"/>
      <w:r w:rsidRPr="0093227C">
        <w:rPr>
          <w:color w:val="000000" w:themeColor="text1"/>
        </w:rPr>
        <w:t xml:space="preserve"> et al., "</w:t>
      </w:r>
      <w:proofErr w:type="spellStart"/>
      <w:r w:rsidRPr="0093227C">
        <w:rPr>
          <w:color w:val="000000" w:themeColor="text1"/>
        </w:rPr>
        <w:t>Pengaruh</w:t>
      </w:r>
      <w:proofErr w:type="spellEnd"/>
      <w:r w:rsidRPr="0093227C">
        <w:rPr>
          <w:color w:val="000000" w:themeColor="text1"/>
        </w:rPr>
        <w:t xml:space="preserve"> EGR </w:t>
      </w:r>
      <w:proofErr w:type="spellStart"/>
      <w:r w:rsidRPr="0093227C">
        <w:rPr>
          <w:color w:val="000000" w:themeColor="text1"/>
        </w:rPr>
        <w:t>Terhadap</w:t>
      </w:r>
      <w:proofErr w:type="spellEnd"/>
      <w:r w:rsidRPr="0093227C">
        <w:rPr>
          <w:color w:val="000000" w:themeColor="text1"/>
        </w:rPr>
        <w:t xml:space="preserve"> Performa dan </w:t>
      </w:r>
      <w:proofErr w:type="spellStart"/>
      <w:r w:rsidRPr="0093227C">
        <w:rPr>
          <w:color w:val="000000" w:themeColor="text1"/>
        </w:rPr>
        <w:t>Emisi</w:t>
      </w:r>
      <w:proofErr w:type="spellEnd"/>
      <w:r w:rsidRPr="0093227C">
        <w:rPr>
          <w:color w:val="000000" w:themeColor="text1"/>
        </w:rPr>
        <w:t xml:space="preserve"> </w:t>
      </w:r>
      <w:proofErr w:type="spellStart"/>
      <w:r w:rsidRPr="0093227C">
        <w:rPr>
          <w:color w:val="000000" w:themeColor="text1"/>
        </w:rPr>
        <w:t>Jelaga</w:t>
      </w:r>
      <w:proofErr w:type="spellEnd"/>
      <w:r w:rsidRPr="0093227C">
        <w:rPr>
          <w:color w:val="000000" w:themeColor="text1"/>
        </w:rPr>
        <w:t xml:space="preserve"> </w:t>
      </w:r>
      <w:proofErr w:type="spellStart"/>
      <w:r w:rsidRPr="0093227C">
        <w:rPr>
          <w:color w:val="000000" w:themeColor="text1"/>
        </w:rPr>
        <w:t>Mesin</w:t>
      </w:r>
      <w:proofErr w:type="spellEnd"/>
      <w:r w:rsidRPr="0093227C">
        <w:rPr>
          <w:color w:val="000000" w:themeColor="text1"/>
        </w:rPr>
        <w:t xml:space="preserve"> Diesel Direct Injection," </w:t>
      </w:r>
      <w:proofErr w:type="spellStart"/>
      <w:r w:rsidRPr="0093227C">
        <w:rPr>
          <w:color w:val="000000" w:themeColor="text1"/>
        </w:rPr>
        <w:t>Jurnal</w:t>
      </w:r>
      <w:proofErr w:type="spellEnd"/>
      <w:r w:rsidRPr="0093227C">
        <w:rPr>
          <w:color w:val="000000" w:themeColor="text1"/>
        </w:rPr>
        <w:t xml:space="preserve"> </w:t>
      </w:r>
      <w:proofErr w:type="spellStart"/>
      <w:r w:rsidRPr="0093227C">
        <w:rPr>
          <w:color w:val="000000" w:themeColor="text1"/>
        </w:rPr>
        <w:t>Sainteknol</w:t>
      </w:r>
      <w:proofErr w:type="spellEnd"/>
      <w:r w:rsidRPr="0093227C">
        <w:rPr>
          <w:color w:val="000000" w:themeColor="text1"/>
        </w:rPr>
        <w:t>, Universitas Negeri Semarang, 2017.</w:t>
      </w:r>
    </w:p>
    <w:p w14:paraId="6FE60777" w14:textId="0AA115AB" w:rsidR="00B77AEC" w:rsidRPr="0093227C" w:rsidRDefault="00103376">
      <w:pPr>
        <w:spacing w:after="40" w:line="240" w:lineRule="auto"/>
        <w:ind w:left="567" w:hanging="567"/>
        <w:jc w:val="both"/>
        <w:rPr>
          <w:color w:val="000000" w:themeColor="text1"/>
          <w:lang w:val="it-IT"/>
        </w:rPr>
      </w:pPr>
      <w:r w:rsidRPr="0093227C">
        <w:rPr>
          <w:color w:val="000000" w:themeColor="text1"/>
          <w:lang w:val="it-IT"/>
        </w:rPr>
        <w:t xml:space="preserve">[8] </w:t>
      </w:r>
      <w:r w:rsidR="00F2076F">
        <w:rPr>
          <w:color w:val="000000" w:themeColor="text1"/>
          <w:lang w:val="it-IT"/>
        </w:rPr>
        <w:tab/>
      </w:r>
      <w:r w:rsidRPr="0093227C">
        <w:rPr>
          <w:color w:val="000000" w:themeColor="text1"/>
          <w:lang w:val="it-IT"/>
        </w:rPr>
        <w:t>D. Widodo, S. Kristianto, et al., Ekologi dan Ilmu Lingkungan. Medan: Yayasan Kita Menulis, 2021.</w:t>
      </w:r>
    </w:p>
    <w:p w14:paraId="6FE60778" w14:textId="60C90395" w:rsidR="00B77AEC" w:rsidRPr="0093227C" w:rsidRDefault="00103376">
      <w:pPr>
        <w:spacing w:after="40" w:line="240" w:lineRule="auto"/>
        <w:ind w:left="567" w:hanging="567"/>
        <w:jc w:val="both"/>
        <w:rPr>
          <w:color w:val="000000" w:themeColor="text1"/>
          <w:lang w:val="it-IT"/>
        </w:rPr>
      </w:pPr>
      <w:r w:rsidRPr="0093227C">
        <w:rPr>
          <w:color w:val="000000" w:themeColor="text1"/>
          <w:lang w:val="it-IT"/>
        </w:rPr>
        <w:t xml:space="preserve">[9] </w:t>
      </w:r>
      <w:r w:rsidR="00F2076F">
        <w:rPr>
          <w:color w:val="000000" w:themeColor="text1"/>
          <w:lang w:val="it-IT"/>
        </w:rPr>
        <w:tab/>
      </w:r>
      <w:r w:rsidRPr="0093227C">
        <w:rPr>
          <w:color w:val="000000" w:themeColor="text1"/>
          <w:lang w:val="it-IT"/>
        </w:rPr>
        <w:t>I. G. O. Darmayasa, "Dampak NOx Terhadap Lingkungan," Jurnal Ilmiah Kurva Teknik, vol. 2, no. 2, 2013.</w:t>
      </w:r>
    </w:p>
    <w:p w14:paraId="6FE60779" w14:textId="1A9B4964" w:rsidR="00B77AEC" w:rsidRPr="0093227C" w:rsidRDefault="00103376">
      <w:pPr>
        <w:spacing w:after="40" w:line="240" w:lineRule="auto"/>
        <w:ind w:left="567" w:hanging="567"/>
        <w:jc w:val="both"/>
        <w:rPr>
          <w:color w:val="000000" w:themeColor="text1"/>
          <w:lang w:val="it-IT"/>
        </w:rPr>
      </w:pPr>
      <w:r w:rsidRPr="0093227C">
        <w:rPr>
          <w:color w:val="000000" w:themeColor="text1"/>
          <w:lang w:val="it-IT"/>
        </w:rPr>
        <w:t xml:space="preserve">[10] </w:t>
      </w:r>
      <w:r w:rsidR="00F2076F">
        <w:rPr>
          <w:color w:val="000000" w:themeColor="text1"/>
          <w:lang w:val="it-IT"/>
        </w:rPr>
        <w:tab/>
      </w:r>
      <w:r w:rsidRPr="0093227C">
        <w:rPr>
          <w:color w:val="000000" w:themeColor="text1"/>
          <w:lang w:val="it-IT"/>
        </w:rPr>
        <w:t>F. Dwirahmawati, "Analisis Perubahan Konsentrasi NO2 pada Area Bervegetasi," Jurnal Lanskap Indonesia, IPB, 2018.</w:t>
      </w:r>
    </w:p>
    <w:p w14:paraId="6FE6077A" w14:textId="525B4822" w:rsidR="00B77AEC" w:rsidRPr="0093227C" w:rsidRDefault="00103376">
      <w:pPr>
        <w:spacing w:after="40" w:line="240" w:lineRule="auto"/>
        <w:ind w:left="567" w:hanging="567"/>
        <w:jc w:val="both"/>
        <w:rPr>
          <w:color w:val="000000" w:themeColor="text1"/>
        </w:rPr>
      </w:pPr>
      <w:r w:rsidRPr="0093227C">
        <w:rPr>
          <w:color w:val="000000" w:themeColor="text1"/>
        </w:rPr>
        <w:t xml:space="preserve">[11] </w:t>
      </w:r>
      <w:r w:rsidR="00F2076F">
        <w:rPr>
          <w:color w:val="000000" w:themeColor="text1"/>
        </w:rPr>
        <w:tab/>
      </w:r>
      <w:r w:rsidRPr="0093227C">
        <w:rPr>
          <w:color w:val="000000" w:themeColor="text1"/>
        </w:rPr>
        <w:t>S. S</w:t>
      </w:r>
      <w:proofErr w:type="spellStart"/>
      <w:r w:rsidRPr="0093227C">
        <w:rPr>
          <w:color w:val="000000" w:themeColor="text1"/>
        </w:rPr>
        <w:t>iburian</w:t>
      </w:r>
      <w:proofErr w:type="spellEnd"/>
      <w:r w:rsidRPr="0093227C">
        <w:rPr>
          <w:color w:val="000000" w:themeColor="text1"/>
        </w:rPr>
        <w:t xml:space="preserve">, </w:t>
      </w:r>
      <w:proofErr w:type="spellStart"/>
      <w:r w:rsidRPr="0093227C">
        <w:rPr>
          <w:color w:val="000000" w:themeColor="text1"/>
        </w:rPr>
        <w:t>Pencemaran</w:t>
      </w:r>
      <w:proofErr w:type="spellEnd"/>
      <w:r w:rsidRPr="0093227C">
        <w:rPr>
          <w:color w:val="000000" w:themeColor="text1"/>
        </w:rPr>
        <w:t xml:space="preserve"> Udara dan </w:t>
      </w:r>
      <w:proofErr w:type="spellStart"/>
      <w:r w:rsidRPr="0093227C">
        <w:rPr>
          <w:color w:val="000000" w:themeColor="text1"/>
        </w:rPr>
        <w:t>Emisi</w:t>
      </w:r>
      <w:proofErr w:type="spellEnd"/>
      <w:r w:rsidRPr="0093227C">
        <w:rPr>
          <w:color w:val="000000" w:themeColor="text1"/>
        </w:rPr>
        <w:t xml:space="preserve"> Gas </w:t>
      </w:r>
      <w:proofErr w:type="spellStart"/>
      <w:r w:rsidRPr="0093227C">
        <w:rPr>
          <w:color w:val="000000" w:themeColor="text1"/>
        </w:rPr>
        <w:t>Rumah</w:t>
      </w:r>
      <w:proofErr w:type="spellEnd"/>
      <w:r w:rsidRPr="0093227C">
        <w:rPr>
          <w:color w:val="000000" w:themeColor="text1"/>
        </w:rPr>
        <w:t xml:space="preserve"> </w:t>
      </w:r>
      <w:proofErr w:type="spellStart"/>
      <w:r w:rsidRPr="0093227C">
        <w:rPr>
          <w:color w:val="000000" w:themeColor="text1"/>
        </w:rPr>
        <w:t>Kaca</w:t>
      </w:r>
      <w:proofErr w:type="spellEnd"/>
      <w:r w:rsidRPr="0093227C">
        <w:rPr>
          <w:color w:val="000000" w:themeColor="text1"/>
        </w:rPr>
        <w:t xml:space="preserve">. Jakarta: </w:t>
      </w:r>
      <w:proofErr w:type="spellStart"/>
      <w:r w:rsidRPr="0093227C">
        <w:rPr>
          <w:color w:val="000000" w:themeColor="text1"/>
        </w:rPr>
        <w:t>Kreasi</w:t>
      </w:r>
      <w:proofErr w:type="spellEnd"/>
      <w:r w:rsidRPr="0093227C">
        <w:rPr>
          <w:color w:val="000000" w:themeColor="text1"/>
        </w:rPr>
        <w:t xml:space="preserve"> </w:t>
      </w:r>
      <w:proofErr w:type="spellStart"/>
      <w:r w:rsidRPr="0093227C">
        <w:rPr>
          <w:color w:val="000000" w:themeColor="text1"/>
        </w:rPr>
        <w:t>Cendekia</w:t>
      </w:r>
      <w:proofErr w:type="spellEnd"/>
      <w:r w:rsidRPr="0093227C">
        <w:rPr>
          <w:color w:val="000000" w:themeColor="text1"/>
        </w:rPr>
        <w:t xml:space="preserve"> Pustaka, 2020.</w:t>
      </w:r>
    </w:p>
    <w:p w14:paraId="6FE6077B" w14:textId="12EB3325" w:rsidR="00B77AEC" w:rsidRPr="0093227C" w:rsidRDefault="00103376">
      <w:pPr>
        <w:spacing w:after="40" w:line="240" w:lineRule="auto"/>
        <w:ind w:left="567" w:hanging="567"/>
        <w:jc w:val="both"/>
        <w:rPr>
          <w:color w:val="000000" w:themeColor="text1"/>
        </w:rPr>
      </w:pPr>
      <w:r w:rsidRPr="0093227C">
        <w:rPr>
          <w:color w:val="000000" w:themeColor="text1"/>
        </w:rPr>
        <w:t xml:space="preserve">[12] </w:t>
      </w:r>
      <w:r w:rsidR="00F2076F">
        <w:rPr>
          <w:color w:val="000000" w:themeColor="text1"/>
        </w:rPr>
        <w:tab/>
      </w:r>
      <w:r w:rsidRPr="0093227C">
        <w:rPr>
          <w:color w:val="000000" w:themeColor="text1"/>
        </w:rPr>
        <w:t>MAN Energy Solutions, Exhaust Gas Recirculation (EGR) for Two-Stroke Engines: Technical Paper. Copenhagen: MAN, 2021.</w:t>
      </w:r>
    </w:p>
    <w:p w14:paraId="6FE6077C" w14:textId="6415D068" w:rsidR="00B77AEC" w:rsidRPr="0093227C" w:rsidRDefault="00103376">
      <w:pPr>
        <w:spacing w:after="40" w:line="240" w:lineRule="auto"/>
        <w:ind w:left="567" w:hanging="567"/>
        <w:jc w:val="both"/>
        <w:rPr>
          <w:color w:val="000000" w:themeColor="text1"/>
        </w:rPr>
      </w:pPr>
      <w:r w:rsidRPr="0093227C">
        <w:rPr>
          <w:color w:val="000000" w:themeColor="text1"/>
        </w:rPr>
        <w:lastRenderedPageBreak/>
        <w:t xml:space="preserve">[13] </w:t>
      </w:r>
      <w:r w:rsidR="00F2076F">
        <w:rPr>
          <w:color w:val="000000" w:themeColor="text1"/>
        </w:rPr>
        <w:tab/>
      </w:r>
      <w:r w:rsidRPr="0093227C">
        <w:rPr>
          <w:color w:val="000000" w:themeColor="text1"/>
        </w:rPr>
        <w:t xml:space="preserve">Alfa Laval, </w:t>
      </w:r>
      <w:proofErr w:type="spellStart"/>
      <w:r w:rsidRPr="0093227C">
        <w:rPr>
          <w:color w:val="000000" w:themeColor="text1"/>
        </w:rPr>
        <w:t>PureNOx</w:t>
      </w:r>
      <w:proofErr w:type="spellEnd"/>
      <w:r w:rsidRPr="0093227C">
        <w:rPr>
          <w:color w:val="000000" w:themeColor="text1"/>
        </w:rPr>
        <w:t xml:space="preserve"> System: EGR Water Treatment for Marine Applications, Technical Documentation. Lund: Alfa Laval, 2020.</w:t>
      </w:r>
    </w:p>
    <w:p w14:paraId="6FE6077D" w14:textId="77777777" w:rsidR="00B77AEC" w:rsidRPr="0093227C" w:rsidRDefault="00103376">
      <w:pPr>
        <w:spacing w:after="40" w:line="240" w:lineRule="auto"/>
        <w:ind w:left="567" w:hanging="567"/>
        <w:jc w:val="both"/>
        <w:rPr>
          <w:color w:val="000000" w:themeColor="text1"/>
        </w:rPr>
      </w:pPr>
      <w:r w:rsidRPr="0093227C">
        <w:rPr>
          <w:color w:val="000000" w:themeColor="text1"/>
        </w:rPr>
        <w:t>[14] International Maritime Organization, NOx Technical Code 2008, 2nd ed. London: IMO Publishing, 2017.</w:t>
      </w:r>
    </w:p>
    <w:p w14:paraId="17DCB7AA" w14:textId="33E907F0" w:rsidR="0093227C" w:rsidRDefault="00103376">
      <w:pPr>
        <w:spacing w:after="40" w:line="240" w:lineRule="auto"/>
        <w:ind w:left="567" w:hanging="567"/>
        <w:jc w:val="both"/>
        <w:rPr>
          <w:color w:val="000000" w:themeColor="text1"/>
        </w:rPr>
        <w:sectPr w:rsidR="0093227C" w:rsidSect="0093227C">
          <w:type w:val="continuous"/>
          <w:pgSz w:w="11906" w:h="16838"/>
          <w:pgMar w:top="1134" w:right="1134" w:bottom="1134" w:left="1134" w:header="708" w:footer="708" w:gutter="0"/>
          <w:cols w:num="2" w:space="720"/>
          <w:docGrid w:linePitch="360"/>
        </w:sectPr>
      </w:pPr>
      <w:r w:rsidRPr="0093227C">
        <w:rPr>
          <w:color w:val="000000" w:themeColor="text1"/>
        </w:rPr>
        <w:t xml:space="preserve">[15] </w:t>
      </w:r>
      <w:r w:rsidR="00F2076F">
        <w:rPr>
          <w:color w:val="000000" w:themeColor="text1"/>
        </w:rPr>
        <w:tab/>
      </w:r>
      <w:r w:rsidRPr="0093227C">
        <w:rPr>
          <w:color w:val="000000" w:themeColor="text1"/>
        </w:rPr>
        <w:t>D. Woodyard, Pounder's Marine Diesel Engines and Gas Turbines, 9th ed. Oxford: Butterworth-Heinemann, 2009.</w:t>
      </w:r>
    </w:p>
    <w:p w14:paraId="6FE6077E" w14:textId="77777777" w:rsidR="00B77AEC" w:rsidRPr="00634279" w:rsidRDefault="00B77AEC">
      <w:pPr>
        <w:spacing w:after="40" w:line="240" w:lineRule="auto"/>
        <w:ind w:left="567" w:hanging="567"/>
        <w:jc w:val="both"/>
        <w:rPr>
          <w:color w:val="000000" w:themeColor="text1"/>
        </w:rPr>
      </w:pPr>
    </w:p>
    <w:sectPr w:rsidR="00B77AEC" w:rsidRPr="00634279">
      <w:type w:val="continuous"/>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60785" w14:textId="77777777" w:rsidR="00103376" w:rsidRDefault="00103376">
      <w:pPr>
        <w:spacing w:line="240" w:lineRule="auto"/>
      </w:pPr>
      <w:r>
        <w:separator/>
      </w:r>
    </w:p>
  </w:endnote>
  <w:endnote w:type="continuationSeparator" w:id="0">
    <w:p w14:paraId="6FE60787" w14:textId="77777777" w:rsidR="00103376" w:rsidRDefault="001033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055420"/>
      <w:docPartObj>
        <w:docPartGallery w:val="Page Numbers (Bottom of Page)"/>
        <w:docPartUnique/>
      </w:docPartObj>
    </w:sdtPr>
    <w:sdtEndPr>
      <w:rPr>
        <w:noProof/>
      </w:rPr>
    </w:sdtEndPr>
    <w:sdtContent>
      <w:p w14:paraId="0E189B60" w14:textId="359791C0" w:rsidR="00103376" w:rsidRDefault="001033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FE60780" w14:textId="40C09CD5" w:rsidR="00B77AEC" w:rsidRDefault="00B77AE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60781" w14:textId="77777777" w:rsidR="00103376" w:rsidRDefault="00103376">
      <w:pPr>
        <w:spacing w:line="240" w:lineRule="auto"/>
      </w:pPr>
      <w:r>
        <w:separator/>
      </w:r>
    </w:p>
  </w:footnote>
  <w:footnote w:type="continuationSeparator" w:id="0">
    <w:p w14:paraId="6FE60783" w14:textId="77777777" w:rsidR="00103376" w:rsidRDefault="0010337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A46C96"/>
    <w:multiLevelType w:val="hybridMultilevel"/>
    <w:tmpl w:val="1B46C4DC"/>
    <w:lvl w:ilvl="0" w:tplc="B15E161E">
      <w:start w:val="1"/>
      <w:numFmt w:val="bullet"/>
      <w:lvlText w:val="●"/>
      <w:lvlJc w:val="left"/>
      <w:pPr>
        <w:ind w:left="720" w:hanging="360"/>
      </w:pPr>
    </w:lvl>
    <w:lvl w:ilvl="1" w:tplc="EA44B850">
      <w:start w:val="1"/>
      <w:numFmt w:val="bullet"/>
      <w:lvlText w:val="○"/>
      <w:lvlJc w:val="left"/>
      <w:pPr>
        <w:ind w:left="1440" w:hanging="360"/>
      </w:pPr>
    </w:lvl>
    <w:lvl w:ilvl="2" w:tplc="588662E4">
      <w:start w:val="1"/>
      <w:numFmt w:val="bullet"/>
      <w:lvlText w:val="■"/>
      <w:lvlJc w:val="left"/>
      <w:pPr>
        <w:ind w:left="2160" w:hanging="360"/>
      </w:pPr>
    </w:lvl>
    <w:lvl w:ilvl="3" w:tplc="27CC3750">
      <w:start w:val="1"/>
      <w:numFmt w:val="bullet"/>
      <w:lvlText w:val="●"/>
      <w:lvlJc w:val="left"/>
      <w:pPr>
        <w:ind w:left="2880" w:hanging="360"/>
      </w:pPr>
    </w:lvl>
    <w:lvl w:ilvl="4" w:tplc="76401412">
      <w:start w:val="1"/>
      <w:numFmt w:val="bullet"/>
      <w:lvlText w:val="○"/>
      <w:lvlJc w:val="left"/>
      <w:pPr>
        <w:ind w:left="3600" w:hanging="360"/>
      </w:pPr>
    </w:lvl>
    <w:lvl w:ilvl="5" w:tplc="52DE9BF2">
      <w:start w:val="1"/>
      <w:numFmt w:val="bullet"/>
      <w:lvlText w:val="■"/>
      <w:lvlJc w:val="left"/>
      <w:pPr>
        <w:ind w:left="4320" w:hanging="360"/>
      </w:pPr>
    </w:lvl>
    <w:lvl w:ilvl="6" w:tplc="1DE2AFFE">
      <w:start w:val="1"/>
      <w:numFmt w:val="bullet"/>
      <w:lvlText w:val="●"/>
      <w:lvlJc w:val="left"/>
      <w:pPr>
        <w:ind w:left="5040" w:hanging="360"/>
      </w:pPr>
    </w:lvl>
    <w:lvl w:ilvl="7" w:tplc="35AA2230">
      <w:start w:val="1"/>
      <w:numFmt w:val="bullet"/>
      <w:lvlText w:val="●"/>
      <w:lvlJc w:val="left"/>
      <w:pPr>
        <w:ind w:left="5760" w:hanging="360"/>
      </w:pPr>
    </w:lvl>
    <w:lvl w:ilvl="8" w:tplc="ED4C2B14">
      <w:start w:val="1"/>
      <w:numFmt w:val="bullet"/>
      <w:lvlText w:val="●"/>
      <w:lvlJc w:val="left"/>
      <w:pPr>
        <w:ind w:left="6480" w:hanging="360"/>
      </w:pPr>
    </w:lvl>
  </w:abstractNum>
  <w:num w:numId="1" w16cid:durableId="7248417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AEC"/>
    <w:rsid w:val="000C546B"/>
    <w:rsid w:val="00103376"/>
    <w:rsid w:val="002F2CA6"/>
    <w:rsid w:val="004513CC"/>
    <w:rsid w:val="00634279"/>
    <w:rsid w:val="00820932"/>
    <w:rsid w:val="009279A3"/>
    <w:rsid w:val="0093227C"/>
    <w:rsid w:val="0093399E"/>
    <w:rsid w:val="00B77AEC"/>
    <w:rsid w:val="00BF0C74"/>
    <w:rsid w:val="00D15E47"/>
    <w:rsid w:val="00D3093C"/>
    <w:rsid w:val="00D75168"/>
    <w:rsid w:val="00D95CC9"/>
    <w:rsid w:val="00E939EE"/>
    <w:rsid w:val="00F2076F"/>
    <w:rsid w:val="00F80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606F1"/>
  <w15:docId w15:val="{3EC6859E-1087-465E-A258-49A2AAB91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34279"/>
    <w:pPr>
      <w:tabs>
        <w:tab w:val="center" w:pos="4986"/>
        <w:tab w:val="right" w:pos="9972"/>
      </w:tabs>
      <w:spacing w:line="240" w:lineRule="auto"/>
    </w:pPr>
  </w:style>
  <w:style w:type="character" w:customStyle="1" w:styleId="HeaderChar">
    <w:name w:val="Header Char"/>
    <w:basedOn w:val="DefaultParagraphFont"/>
    <w:link w:val="Header"/>
    <w:uiPriority w:val="99"/>
    <w:rsid w:val="00634279"/>
  </w:style>
  <w:style w:type="paragraph" w:styleId="Footer">
    <w:name w:val="footer"/>
    <w:basedOn w:val="Normal"/>
    <w:link w:val="FooterChar"/>
    <w:uiPriority w:val="99"/>
    <w:unhideWhenUsed/>
    <w:rsid w:val="00634279"/>
    <w:pPr>
      <w:tabs>
        <w:tab w:val="center" w:pos="4986"/>
        <w:tab w:val="right" w:pos="9972"/>
      </w:tabs>
      <w:spacing w:line="240" w:lineRule="auto"/>
    </w:pPr>
  </w:style>
  <w:style w:type="character" w:customStyle="1" w:styleId="FooterChar">
    <w:name w:val="Footer Char"/>
    <w:basedOn w:val="DefaultParagraphFont"/>
    <w:link w:val="Footer"/>
    <w:uiPriority w:val="99"/>
    <w:rsid w:val="00634279"/>
  </w:style>
  <w:style w:type="paragraph" w:customStyle="1" w:styleId="TableParagraph">
    <w:name w:val="Table Paragraph"/>
    <w:basedOn w:val="Normal"/>
    <w:uiPriority w:val="1"/>
    <w:qFormat/>
    <w:rsid w:val="00E939EE"/>
    <w:pPr>
      <w:widowControl w:val="0"/>
      <w:autoSpaceDE w:val="0"/>
      <w:autoSpaceDN w:val="0"/>
      <w:spacing w:line="210" w:lineRule="exact"/>
      <w:jc w:val="center"/>
    </w:pPr>
    <w:rPr>
      <w:sz w:val="22"/>
      <w:szCs w:val="22"/>
    </w:rPr>
  </w:style>
  <w:style w:type="character" w:styleId="UnresolvedMention">
    <w:name w:val="Unresolved Mention"/>
    <w:basedOn w:val="DefaultParagraphFont"/>
    <w:uiPriority w:val="99"/>
    <w:semiHidden/>
    <w:unhideWhenUsed/>
    <w:rsid w:val="008209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zakyzaky2006@g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8</Pages>
  <Words>5153</Words>
  <Characters>29375</Characters>
  <Application>Microsoft Office Word</Application>
  <DocSecurity>0</DocSecurity>
  <Lines>244</Lines>
  <Paragraphs>68</Paragraphs>
  <ScaleCrop>false</ScaleCrop>
  <Company/>
  <LinksUpToDate>false</LinksUpToDate>
  <CharactersWithSpaces>34460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Aditya Rinaldi</cp:lastModifiedBy>
  <cp:revision>17</cp:revision>
  <dcterms:created xsi:type="dcterms:W3CDTF">2026-08-14T07:34:00Z</dcterms:created>
  <dcterms:modified xsi:type="dcterms:W3CDTF">2026-09-01T02:41:00Z</dcterms:modified>
</cp:coreProperties>
</file>